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Times New Roman" w:eastAsia="微軟正黑體" w:hAnsi="Times New Roman"/>
          <w:b/>
          <w:bCs/>
          <w:sz w:val="40"/>
          <w:szCs w:val="40"/>
        </w:rPr>
        <w:t xml:space="preserve">救護車調度與損壞道路修復決策模型</w:t>
      </w:r>
    </w:p>
    <w:p>
      <w:pPr>
        <w:spacing w:after="400"/>
        <w:jc w:val="center"/>
      </w:pPr>
      <w:r>
        <w:rPr>
          <w:rFonts w:ascii="Times New Roman" w:eastAsia="微軟正黑體" w:hAnsi="Times New Roman"/>
          <w:b/>
          <w:bCs/>
          <w:sz w:val="32"/>
          <w:szCs w:val="32"/>
        </w:rPr>
        <w:t xml:space="preserve">有效不等式（Valid Inequalities）之設計與說明</w:t>
      </w:r>
    </w:p>
    <w:p>
      <w:pPr>
        <w:spacing w:after="80"/>
        <w:jc w:val="center"/>
      </w:pPr>
      <w:r>
        <w:rPr>
          <w:rFonts w:ascii="Times New Roman" w:eastAsia="新細明體" w:hAnsi="Times New Roman"/>
          <w:sz w:val="22"/>
          <w:szCs w:val="22"/>
        </w:rPr>
        <w:t xml:space="preserve">以 Thesis_Draft (2026.06.22) 之 [RA-TSSP] 式 (1)–(27) 與 [RA-TSDRO] 式 (28)–(37) 為基礎</w:t>
      </w:r>
    </w:p>
    <w:p>
      <w:pPr>
        <w:spacing w:after="600"/>
        <w:jc w:val="center"/>
      </w:pPr>
      <w:r>
        <w:rPr>
          <w:rFonts w:ascii="Times New Roman" w:eastAsia="新細明體" w:hAnsi="Times New Roman"/>
          <w:sz w:val="22"/>
          <w:szCs w:val="22"/>
        </w:rPr>
        <w:t xml:space="preserve">2026 年 8 月　工作文件</w:t>
      </w:r>
    </w:p>
    <w:p>
      <w:pPr>
        <w:spacing w:after="20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本文所有符號一律沿用論文 3.3 節的定義；凡本文新增之符號，均在第 2.2 節單獨列出並標明「新創」。每一族有效不等式皆註明：(i) 作用於第一階段或第二階段；(ii) 係取代原模型的哪一條限制式，或屬新增；(iii) 其型別為等價重構、保最佳性、或鬆弛下界。</w:t>
      </w:r>
    </w:p>
    <w:p>
      <w:r>
        <w:br w:type="page"/>
      </w:r>
    </w:p>
    <w:p>
      <w:pPr>
        <w:pStyle w:val="Heading1"/>
        <w:keepNext/>
        <w:spacing w:after="180" w:before="36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1　前言：有效不等式在本模型中的定位</w:t>
      </w: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1.1　問題來源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將 [RA-TSSP] 以 Benders 分解求解時，主問題（master problem）保留第一階段變數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與第一階段限制式 (2)–(9)，並以代理變數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取代式 (1d) 的第二階段成本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；第二階段限制式 (10)–(27) 則移入子問題，透過 optimality cut 逐步回饋。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此處出現一個結構性困難：本模型的第二階段採「未服務即付罰金」而非硬性服務限制 —— 由式 (15)(16)，令 X = V = U = Y = 0 時所有傷患滯留災區，僅在 (10) 的第一項產生 ρ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罰金，模型仍然可行（relatively complete recourse）。因此在切割累積之前，master 的線性鬆弛最佳解就是全部歸零、目標值為 0，θ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唯一已知的資訊僅有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0。所有「少開設施會付出多少代價」的知識，都必須靠切割一條一條學回來。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有效不等式的作用，就是把這些原本要靠切割慢慢學到的結構性知識，事先以限制式的形式寫進 master。</w:t>
      </w: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1.2　三種型別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本文將所有不等式分為三類。此分類在論文寫作上必須明確交代，因為第二類會切掉可行解，需要額外的最佳性論證。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1800"/>
        <w:gridCol w:w="4600"/>
        <w:gridCol w:w="3238"/>
      </w:tblGrid>
      <w:tr>
        <w:trPr>
          <w:cantSplit/>
          <w:tblHeader/>
        </w:trPr>
        <w:tc>
          <w:tcPr>
            <w:tcW w:type="dxa" w:w="18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型別</w:t>
            </w:r>
          </w:p>
        </w:tc>
        <w:tc>
          <w:tcPr>
            <w:tcW w:type="dxa" w:w="46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3238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論文寫作時的舉證責任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等價重構 [EXACT]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不切掉任何可行解；改寫前後的可行解集合完全相同。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只需證明新舊限制式等價。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保最佳性 [OPT]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可能切掉可行但被支配的解，但保證至少保留一個最佳解。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必須論證「存在一個最佳解滿足此式」。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鬆弛下界 [RELAX]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對原問題所有可行解恆成立的有效不等式（不切掉任何可行解，僅收緊鬆弛）。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需證明對所有可行解成立。</w:t>
            </w:r>
          </w:p>
        </w:tc>
      </w:tr>
    </w:tbl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1.3　為何所有下界式都可以掛在 θ</w:t>
      </w:r>
      <w:r>
        <w:rPr>
          <w:rFonts w:ascii="Times New Roman" w:eastAsia="微軟正黑體" w:hAnsi="Times New Roman"/>
          <w:b/>
          <w:bCs/>
          <w:sz w:val="26"/>
          <w:szCs w:val="26"/>
          <w:vertAlign w:val="subscript"/>
        </w:rPr>
        <w:t xml:space="preserve">s</w:t>
      </w: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 上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在 MCVaR 與三種 DRO 重構中，目標式 (1a)、(31) 對每個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皆為單調不減（(1a) 的兩項係數 (1−λ) 與 λ 非負；(31) 中 sup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p∈P</w:t>
      </w:r>
      <w:r>
        <w:rPr>
          <w:rFonts w:ascii="Times New Roman" w:eastAsia="新細明體" w:hAnsi="Times New Roman"/>
          <w:sz w:val="22"/>
          <w:szCs w:val="22"/>
        </w:rPr>
        <w:t xml:space="preserve"> Qᵀp 對 Q 單調不減，因為模糊集 (32)–(34) 內的機率向量均滿足 p ≥ 0）。因此以滿足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≤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的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取代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後，master 仍是原問題的合法鬆弛，其目標下界依然有效。這是所有下界型有效不等式得以掛在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上的理論基礎。</w:t>
      </w:r>
    </w:p>
    <w:p>
      <w:pPr>
        <w:pStyle w:val="Heading1"/>
        <w:keepNext/>
        <w:spacing w:after="180" w:before="36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2　符號約定</w:t>
      </w: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2.1　沿用論文的符號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下表僅列出本文用到的符號，定義與論文 3.3 節完全相同，不做任何更動。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2500"/>
        <w:gridCol w:w="4500"/>
        <w:gridCol w:w="2638"/>
      </w:tblGrid>
      <w:tr>
        <w:trPr>
          <w:cantSplit/>
          <w:tblHeader/>
        </w:trPr>
        <w:tc>
          <w:tcPr>
            <w:tcW w:type="dxa" w:w="25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符號</w:t>
            </w:r>
          </w:p>
        </w:tc>
        <w:tc>
          <w:tcPr>
            <w:tcW w:type="dxa" w:w="45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意義</w:t>
            </w:r>
          </w:p>
        </w:tc>
        <w:tc>
          <w:tcPr>
            <w:tcW w:type="dxa" w:w="2638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論文出處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I, J, H, L, L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perscript"/>
              </w:rPr>
              <w:t xml:space="preserve">Amb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T, 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災區、候選 CCP、醫院、嚴重度、需後送嚴重度子集、期別、情境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3.3 Sets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cv, ca, cy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hj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CCP 開設固定成本、醫護單位配置成本、救護車單位配置成本、物資撥補單位成本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3.3 First-Stage Params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nv, na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可用醫護總數、可用 CCP 救護車總數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s̄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v̄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ū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ȳ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醫院 h 物資供給上限、CCP j 的醫護／救護車／物資上限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ij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c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jh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路段 i→j 與 j→h 的正常最大運輸容量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3.3 Second-Stage Params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κ, η, b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CCP 救護車單期運送量、醫院救護車單期運送量、醫院 h 救護車數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k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jl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τ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α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β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CCP j 對嚴重度 l 的實體容量、治療期數、單位醫護單期治療量、單位物資消耗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ρ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δ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t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ij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t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jh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災區滯留罰金、CCP 等待罰金、i→j 與 j→h 單位運送成本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ξ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ilts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u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ijts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w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jhts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h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hts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情境 s 下的新增傷患、道路可用比例（i→j 與 j→h）、醫院收治容量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3.3 Random Variables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X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V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U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Y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hj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第一階段決策變數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3.3 First-Stage DV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FI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ijlt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(s), FO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jhlt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(s), RM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ilt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(s), REG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jlt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(s), TRT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jlt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(s), WAT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jlt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(s)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第二階段決策變數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3.3 Second-Stage DV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Q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φ, ℓ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λ, α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情境二階成本、VaR 門檻、CVaR 輔助變數、風險權重、信心水準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式 (1a)(1b)(1d)(1e)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ε̄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B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A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E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A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box 半徑、ellipsoidal 與 polyhedral 的尺度矩陣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定義 1–3，式 (32)–(34)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γ, ζ, ϖ, γ̂, ζ̂, ϖ̂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box 模糊集對偶重構的對偶變數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Theorem 1，式 (35)；附錄 A.1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Δ, ν, π（及其 hat 版）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ellipsoidal 對偶重構的對偶變數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Theorem 2，式 (36)；附錄 A.2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Γ, ψ, χ（及其 hat 版）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polyhedral 對偶重構的對偶變數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Theorem 3，式 (37)</w:t>
            </w:r>
          </w:p>
        </w:tc>
      </w:tr>
    </w:tbl>
    <w:p>
      <w:r>
        <w:br w:type="page"/>
      </w: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2.2　本文新創的符號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以下符號論文中沒有，全部由本文新增。除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為 Benders 分解的標準做法外，其餘皆為推導有效不等式所需的輔助量。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關於加總量的體例：本文刻意不為任何「加總後的量」另立符號。凡需要用到「災區 i、嚴重度 l 到第 t 期為止累積產生的傷患」之處，一律直接寫成論文原有參數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ilts</w:t>
      </w:r>
      <w:r>
        <w:rPr>
          <w:rFonts w:ascii="Times New Roman" w:eastAsia="新細明體" w:hAnsi="Times New Roman"/>
          <w:sz w:val="22"/>
          <w:szCs w:val="22"/>
        </w:rPr>
        <w:t xml:space="preserve"> 的加總，即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；第二階段決策變數的加總（如 VI-7 用到的「全系統這期送進 CCP 的人數」）同樣一律寫成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這樣的展開形式，不以新符號重新命名。需要再對災區或嚴重度加總時，也一律把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或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明白寫出來。如此讀者不必記憶任何新符號，被加總掉的索引也直接從式子上看得出來。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2400"/>
        <w:gridCol w:w="3500"/>
        <w:gridCol w:w="3738"/>
      </w:tblGrid>
      <w:tr>
        <w:trPr>
          <w:cantSplit/>
          <w:tblHeader/>
        </w:trPr>
        <w:tc>
          <w:tcPr>
            <w:tcW w:type="dxa" w:w="24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符號</w:t>
            </w:r>
          </w:p>
        </w:tc>
        <w:tc>
          <w:tcPr>
            <w:tcW w:type="dxa" w:w="35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3738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θ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Benders master 中取代 Q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的代理變數，θ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∈ ℝ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新創。分解演算法的標準構件；主問題目標式以 θ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取代 (1d) 的 Q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q̲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q̄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情境 s 第二階段成本的下界與上界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新創。見 VI-1、VI-2。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x̄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x̄ := (X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=1, V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=v̄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U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=ū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Y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=min{s̄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, ȳ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})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新創。第一階段變數的逐分量上界向量（不必為 (2)–(9) 的可行解）。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 := Σ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j∈J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X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新創。開設 CCP 的座數。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T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(N₀)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作用期集合，定義見 4.10 節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新創。VI-3 專用。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W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W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:= Σ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h∈H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Y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bscript"/>
              </w:rPr>
              <w:t xml:space="preserve">hj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新創。VI-8 的降維物資變數。</w:t>
            </w:r>
          </w:p>
        </w:tc>
      </w:tr>
    </w:tbl>
    <w:p>
      <w:r>
        <w:br w:type="page"/>
      </w:r>
    </w:p>
    <w:p>
      <w:pPr>
        <w:pStyle w:val="Heading1"/>
        <w:keepNext/>
        <w:spacing w:after="180" w:before="36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3　有效不等式總表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下表為全部十二族的總覽。「階段」欄指該式作用於模型的哪一部分；「與原式關係」欄說明它是取代既有限制式，或屬新增。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1050"/>
        <w:gridCol w:w="2400"/>
        <w:gridCol w:w="1150"/>
        <w:gridCol w:w="2600"/>
        <w:gridCol w:w="1000"/>
        <w:gridCol w:w="1438"/>
      </w:tblGrid>
      <w:tr>
        <w:trPr>
          <w:cantSplit/>
          <w:tblHeader/>
        </w:trPr>
        <w:tc>
          <w:tcPr>
            <w:tcW w:type="dxa" w:w="105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24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名稱</w:t>
            </w:r>
          </w:p>
        </w:tc>
        <w:tc>
          <w:tcPr>
            <w:tcW w:type="dxa" w:w="115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階段</w:t>
            </w:r>
          </w:p>
        </w:tc>
        <w:tc>
          <w:tcPr>
            <w:tcW w:type="dxa" w:w="26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與原式關係</w:t>
            </w:r>
          </w:p>
        </w:tc>
        <w:tc>
          <w:tcPr>
            <w:tcW w:type="dxa" w:w="10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型別</w:t>
            </w:r>
          </w:p>
        </w:tc>
        <w:tc>
          <w:tcPr>
            <w:tcW w:type="dxa" w:w="1438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狀態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VI-0(a)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緊縮 (11) 的 Big-M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第二階段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取代 (11) 右手邊係數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EXACT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已實作，開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VI-0(b)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緊縮 (12) 的 Big-M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第二階段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取代 (12) 右手邊係數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EXACT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已實作，開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VI-0(c)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緊縮 (5) 的 Big-M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第一階段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取代 (5) 右手邊係數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OPT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已實作，開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合併 (14) 與 (26)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第二階段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以一條取代兩條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EXACT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已實作，無開關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情境下界 θ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≥ q̲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Master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新增（θ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為新變數）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RELAX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已實作，開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情境上界 θ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≤ q̄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Master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新增（θ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的變數上界）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OPT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已實作，開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風險層與對偶變數的界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Master 風險層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新增（給既有變數加界）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OPT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僅 box 已做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每情境彙總鬆弛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Master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新增（(15)–(26) 的加總投影）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RELAX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已實作，開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開站使用連結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第一階段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新增（(5)(7) 的反向補強）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OPT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已實作，開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實體容量↔罰金權衡切線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Master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RELAX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已實作，預設關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VI-4/5/6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救護車／醫護／物資權衡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Master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RELAX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未實作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Y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精確彙總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第一階段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重構 (4)(7)：Y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hj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→ W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EXACT*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未實作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VI-8′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醫院層級破對稱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第一階段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OPT*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已實作，預設關</w:t>
            </w:r>
          </w:p>
        </w:tc>
      </w:tr>
    </w:tbl>
    <w:p>
      <w:pPr>
        <w:spacing w:after="200" w:before="0" w:line="300"/>
      </w:pPr>
      <w:r>
        <w:rPr>
          <w:rFonts w:ascii="Times New Roman" w:eastAsia="新細明體" w:hAnsi="Times New Roman"/>
          <w:sz w:val="20"/>
          <w:szCs w:val="20"/>
        </w:rPr>
        <w:t xml:space="preserve">* VI-8 與 VI-8′ 的型別成立以「cy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hj</w:t>
      </w:r>
      <w:r>
        <w:rPr>
          <w:rFonts w:ascii="Times New Roman" w:eastAsia="新細明體" w:hAnsi="Times New Roman"/>
          <w:sz w:val="20"/>
          <w:szCs w:val="20"/>
        </w:rPr>
        <w:t xml:space="preserve"> 與 s̄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</w:t>
      </w:r>
      <w:r>
        <w:rPr>
          <w:rFonts w:ascii="Times New Roman" w:eastAsia="新細明體" w:hAnsi="Times New Roman"/>
          <w:sz w:val="20"/>
          <w:szCs w:val="20"/>
        </w:rPr>
        <w:t xml:space="preserve"> 皆為常數」為前提，詳見 4.12 節。</w:t>
      </w:r>
    </w:p>
    <w:p>
      <w:r>
        <w:br w:type="page"/>
      </w:r>
    </w:p>
    <w:p>
      <w:pPr>
        <w:pStyle w:val="Heading1"/>
        <w:keepNext/>
        <w:spacing w:after="180" w:before="36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4　逐條說明</w:t>
      </w: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4.1　VI-0(a)　緊縮式 (11) 的 Big-M 係數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第二階段。同時作用於 extensive form 與 Benders 子問題。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取代式 (11) 的右手邊係數，不新增任何限制式或變數。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[EXACT] 等價重構。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原式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(11)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≤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ijts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∀i∈I, j∈J, t∈T, s∈S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改為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(11′)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≤ min{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ijts</w:t>
      </w:r>
      <w:r>
        <w:rPr>
          <w:rFonts w:ascii="Times New Roman" w:eastAsia="新細明體" w:hAnsi="Times New Roman"/>
          <w:sz w:val="22"/>
          <w:szCs w:val="22"/>
        </w:rPr>
        <w:t xml:space="preserve">,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l′∈L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il′rs</w:t>
      </w:r>
      <w:r>
        <w:rPr>
          <w:rFonts w:ascii="Times New Roman" w:eastAsia="新細明體" w:hAnsi="Times New Roman"/>
          <w:sz w:val="22"/>
          <w:szCs w:val="22"/>
        </w:rPr>
        <w:t xml:space="preserve"> } ·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∀i∈I, j∈J, t∈T, s∈S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正確性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將式 (15) 由 t = 1 起遞迴展開，並代入初始條件 (16)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il0</w:t>
      </w:r>
      <w:r>
        <w:rPr>
          <w:rFonts w:ascii="Times New Roman" w:eastAsia="新細明體" w:hAnsi="Times New Roman"/>
          <w:sz w:val="22"/>
          <w:szCs w:val="22"/>
        </w:rPr>
        <w:t xml:space="preserve">(s) = 0：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 −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由 (27) 的非負性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≥ 0 得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左式為非負項之和，取單期 r = t 與單一 j 仍成立，故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；對 l∈L 加總（把加總指標改記為 l′ 以免與左式的 l 混淆）得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l′∈L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il′rs</w:t>
      </w:r>
      <w:r>
        <w:rPr>
          <w:rFonts w:ascii="Times New Roman" w:eastAsia="新細明體" w:hAnsi="Times New Roman"/>
          <w:sz w:val="22"/>
          <w:szCs w:val="22"/>
        </w:rPr>
        <w:t xml:space="preserve">．　∎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因此 (11′) 對原問題所有可行解成立。又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0 時 (11) 與 (11′) 皆迫使左式為 0，X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1 時 (11′) 的右手邊仍不小於左式，故兩式的可行解集合完全相同。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好處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式 (11) 的 Big-M 係數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ijts</w:t>
      </w:r>
      <w:r>
        <w:rPr>
          <w:rFonts w:ascii="Times New Roman" w:eastAsia="新細明體" w:hAnsi="Times New Roman"/>
          <w:sz w:val="22"/>
          <w:szCs w:val="22"/>
        </w:rPr>
        <w:t xml:space="preserve"> 為路網物理容量，與災區實際產生的傷患數無關。在 master 的線性鬆弛中，極小的分數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乘上這個大係數即可承載整期流量；換成真實上界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l′∈L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r≤t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il′rs</w:t>
      </w:r>
      <w:r>
        <w:rPr>
          <w:rFonts w:ascii="Times New Roman" w:eastAsia="新細明體" w:hAnsi="Times New Roman"/>
          <w:sz w:val="22"/>
          <w:szCs w:val="22"/>
        </w:rPr>
        <w:t xml:space="preserve"> 後，同樣的流量需要顯著更大的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。此式不增加任何變數或限制式，是零成本的收緊。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累積量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 係由論文參數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ilts</w:t>
      </w:r>
      <w:r>
        <w:rPr>
          <w:rFonts w:ascii="Times New Roman" w:eastAsia="新細明體" w:hAnsi="Times New Roman"/>
          <w:sz w:val="22"/>
          <w:szCs w:val="22"/>
        </w:rPr>
        <w:t xml:space="preserve"> 事前加總而得的常數，其有效性依賴「傷患一旦產生就固定屬於某一災區與某一嚴重度」。若未來模型擴充為允許傷患嚴重度跨期轉移（例如中度隨時間惡化為重度），或允許災區之間互相轉送，此累積量將不再是 FI 的有效上界，此式會切掉合法解。屆時須改用該情境下的其他真實上界重新推導。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4.2　VI-0(b)　緊縮式 (12) 的 Big-M 係數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第二階段。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取代式 (12) 的右手邊係數。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[EXACT] 等價重構。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原式與改寫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(12)　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</w:t>
      </w:r>
      <w:r>
        <w:rPr>
          <w:rFonts w:ascii="Times New Roman" w:eastAsia="新細明體" w:hAnsi="Times New Roman"/>
          <w:sz w:val="22"/>
          <w:szCs w:val="22"/>
        </w:rPr>
        <w:t xml:space="preserve">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jhts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∀j∈J, h∈H, t∈T, s∈S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(12′)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min{ 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</w:t>
      </w:r>
      <w:r>
        <w:rPr>
          <w:rFonts w:ascii="Times New Roman" w:eastAsia="新細明體" w:hAnsi="Times New Roman"/>
          <w:sz w:val="22"/>
          <w:szCs w:val="22"/>
        </w:rPr>
        <w:t xml:space="preserve">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jhts</w:t>
      </w:r>
      <w:r>
        <w:rPr>
          <w:rFonts w:ascii="Times New Roman" w:eastAsia="新細明體" w:hAnsi="Times New Roman"/>
          <w:sz w:val="22"/>
          <w:szCs w:val="22"/>
        </w:rPr>
        <w:t xml:space="preserve">,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} ·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正確性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由式 (19) 與 (27) 的非負性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≥ 0：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+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j,l,t−τl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由式 (18)，TRT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r=max(1,t−τl)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t−1</w:t>
      </w:r>
      <w:r>
        <w:rPr>
          <w:rFonts w:ascii="Times New Roman" w:eastAsia="新細明體" w:hAnsi="Times New Roman"/>
          <w:sz w:val="22"/>
          <w:szCs w:val="22"/>
        </w:rPr>
        <w:t xml:space="preserve">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jlr</w:t>
      </w:r>
      <w:r>
        <w:rPr>
          <w:rFonts w:ascii="Times New Roman" w:eastAsia="新細明體" w:hAnsi="Times New Roman"/>
          <w:sz w:val="22"/>
          <w:szCs w:val="22"/>
        </w:rPr>
        <w:t xml:space="preserve">(s) 這個滾動視窗恰包含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j,l,t−τl</w:t>
      </w:r>
      <w:r>
        <w:rPr>
          <w:rFonts w:ascii="Times New Roman" w:eastAsia="新細明體" w:hAnsi="Times New Roman"/>
          <w:sz w:val="22"/>
          <w:szCs w:val="22"/>
        </w:rPr>
        <w:t xml:space="preserve">(s) 這一項；又 REG ≥ 0，故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j,l,t−τl</w:t>
      </w:r>
      <w:r>
        <w:rPr>
          <w:rFonts w:ascii="Times New Roman" w:eastAsia="新細明體" w:hAnsi="Times New Roman"/>
          <w:sz w:val="22"/>
          <w:szCs w:val="22"/>
        </w:rPr>
        <w:t xml:space="preserve">(s) ≤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(s)（當 t − 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&lt; 1 時由 (21) 該項為 0，不等式仍成立）。代回並套用 (22)：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+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j,l,t−1</w:t>
      </w:r>
      <w:r>
        <w:rPr>
          <w:rFonts w:ascii="Times New Roman" w:eastAsia="新細明體" w:hAnsi="Times New Roman"/>
          <w:sz w:val="22"/>
          <w:szCs w:val="22"/>
        </w:rPr>
        <w:t xml:space="preserve">(s) ≤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對單一 h 而言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(s)，再對 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加總即得 (12′)。　∎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好處與風險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與 VI-0(a) 同為零成本收緊，直觀意義是「這座 CCP 裡本來就沒有那麼多人可送」。風險在於此式以 (22) 的容量為上界，若未來放寬 (22)（例如允許暫時超收），須同步調整。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4.3　VI-0(c)　緊縮式 (5) 的 Big-M 係數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第一階段。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取代式 (5) 的右手邊係數。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[OPT] 保最佳性　—　注意此式會切掉可行解。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原式與改寫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(5)　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∀j∈J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(5′)　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min{ 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⌈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/ 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⌉ } ·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∀j∈J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正確性（保最佳性論證）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由 (22) 與 (23)，對所有 j, l, t, s 皆有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≤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。代入 (24) 的左式：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(s)/α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/ 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即式 (24) 對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的實質需求永遠不超過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/α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；V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為整數，故取上取整。設某最佳解具有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⌈Σ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/α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⌉，將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下修至該值仍滿足 (24)（(2)(5) 為上界型限制式，下修不會違反），而目標式 (1) 中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的係數 cv &gt; 0，目標值嚴格下降，與最佳性矛盾。故存在一個最佳解滿足 (5′)。　∎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好處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削去超出物理意義的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搜尋空間。以目前的參數校準（台北 small：k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= 78/24/8、α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= 3/2/1、v̄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57）計算，上界由 57 收緊為 46；四個規模一致收緊 18–20%。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其一，此式屬保最佳性而非等價，論文中必須明確論證「不影響最佳目標值」，否則審查時會被質疑切掉可行解。其二，若後續要對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做敏感度分析或情境掃描，此上界會限制可掃描的範圍。其三，若未來將 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改為情境相依的隨機參數，這個靜態上界在醫療效率低落的極端情境中可能過緊。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4.4　VI-11　合併式 (14) 與式 (26)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第二階段。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以一條限制式取代兩條。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[EXACT] 等價重構。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原式與改寫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(14)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η b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,　　∀h∈H, t∈T, s∈S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(26)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h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hts</w:t>
      </w:r>
      <w:r>
        <w:rPr>
          <w:rFonts w:ascii="Times New Roman" w:eastAsia="新細明體" w:hAnsi="Times New Roman"/>
          <w:sz w:val="22"/>
          <w:szCs w:val="22"/>
        </w:rPr>
        <w:t xml:space="preserve">,　　∀h∈H, t∈T, s∈S</w:t>
      </w:r>
    </w:p>
    <w:p>
      <w:pPr>
        <w:keepNext w:val="false"/>
        <w:spacing w:after="40" w:before="40" w:line="300"/>
        <w:ind w:left="567"/>
      </w:pP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(14–26′)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 ≤ min{ η b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,　h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hts</w:t>
      </w:r>
      <w:r>
        <w:rPr>
          <w:rFonts w:ascii="Times New Roman" w:eastAsia="新細明體" w:hAnsi="Times New Roman"/>
          <w:sz w:val="22"/>
          <w:szCs w:val="22"/>
        </w:rPr>
        <w:t xml:space="preserve"> }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正確性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兩式的左手邊完全相同（皆為 FO 對 j 與 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的加總），右手邊皆為與決策變數無關的常數。在幾何上這是兩個平行的半空間，只有右手邊數值較小者具有約束力，故取 min 為等價改寫。　∎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好處與風險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Extensive form 減少 |S| × |H| × |T| 條限制式；每個 Benders 子問題減少 |H| × |T| 條。風險為零。惟論文正文建議仍保留 (14) 與 (26) 兩條的定義與物理意義敘述（一條源於醫院救護車車隊，一條源於醫院收治容量），僅在求解方法一節說明實作上已合併。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4.5　VI-1　情境下界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Benders master。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新增。原模型沒有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；此式為分解後新變數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提供常數下界。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[RELAX] 鬆弛下界。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式子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:= Q( x̄ 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),　　∀s ∈ S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x̄ := (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=1,　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=v̄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=ū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=min{ s̄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, ȳ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} ),　∀j∈J, h∈H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正確性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第一階段變數在第二階段問題 (10)–(27) 中僅出現於下列限制式的右手邊，且係數為正：(11)(12) 的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、(13) 的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、(22)(23) 的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、(24) 的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、(25) 的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。因此提高任一第一階段變數只會放寬第二階段的可行域，故值函數 Q(·;ω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對 (X, V, U, Y) 逐分量非增。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另一方面，任何滿足 (5)(6)(8) 的解都有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1、V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、U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ū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；由 (4) 得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≤ s̄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，由 (7) 得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≤ ȳ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，故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≤ min{s̄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, ȳ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}。合併即 x ≤ x̄（逐分量），因此 Q(x;ω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≥ Q(x̄;ω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=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。　∎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實作上的一個關鍵細節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x̄ 是逐分量上界，通常違反全域資源池限制式 (2)(3)（例如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v̄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nv）。若直接把 x̄ 固定代入含有 (2)–(9) 的子問題模型求解，會得到不可行。實作上必須在求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之前暫時鬆開 (2)–(7)，求解後再還原。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此作法仍然合法：鬆開一階限制式後，線性規劃的值函數為 φ(x) = C¹(x) + Q(x;ω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)（不再含一階可行域的指示函數），對 x 仍是凸函數；由凸函數的次梯度不等式，φ(x) ≥ φ(x̄) +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v</w:t>
      </w:r>
      <w:r>
        <w:rPr>
          <w:rFonts w:ascii="Times New Roman" w:eastAsia="新細明體" w:hAnsi="Times New Roman"/>
          <w:sz w:val="22"/>
          <w:szCs w:val="22"/>
        </w:rPr>
        <w:t xml:space="preserve"> RC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v</w:t>
      </w:r>
      <w:r>
        <w:rPr>
          <w:rFonts w:ascii="Times New Roman" w:eastAsia="新細明體" w:hAnsi="Times New Roman"/>
          <w:sz w:val="22"/>
          <w:szCs w:val="22"/>
        </w:rPr>
        <w:t xml:space="preserve">(x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v</w:t>
      </w:r>
      <w:r>
        <w:rPr>
          <w:rFonts w:ascii="Times New Roman" w:eastAsia="新細明體" w:hAnsi="Times New Roman"/>
          <w:sz w:val="22"/>
          <w:szCs w:val="22"/>
        </w:rPr>
        <w:t xml:space="preserve"> − x̄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v</w:t>
      </w:r>
      <w:r>
        <w:rPr>
          <w:rFonts w:ascii="Times New Roman" w:eastAsia="新細明體" w:hAnsi="Times New Roman"/>
          <w:sz w:val="22"/>
          <w:szCs w:val="22"/>
        </w:rPr>
        <w:t xml:space="preserve">) 對所有 x 成立，扣除 C¹ 後即得對所有第一階段可行解皆有效的 Benders optimality cut。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好處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把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0 換成正的常數，且是逐情境的。這一點對 (1e) / (35) 的 ℓ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− φ 特別關鍵：若沒有逐情境下界，線性鬆弛可以把所有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拉成同一數值、令 φ 等於該值、得到 ℓ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= 0，使 (1a) 中 λ/(1−α) 的 CVaR 尾端項在鬆弛中完全消失 —— 亦即風險層對下界毫無貢獻。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需在演算法前處理階段求解 |S| 次子問題 LP。情境數大幅增加時，此步驟的時間成本需納入考量（可平行化）。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4.6　VI-2　情境上界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Benders master。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新增（θ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的變數上界）。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[OPT] 保最佳性。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式子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≤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:= Q( 0 ; 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ρ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(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 ),　　∀s ∈ S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正確性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令第一階段解全為 0。由 (11)(12) 得 FI = FO = 0；由 (17) 得 REG = 0，(18) 得 TRT = 0，(19)(20) 得 WAT = 0；由 (15)(16) 得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。代入 (10)，僅第一項非零，即得上式的閉式解（不需求解任何 LP）。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又 Q(·;ω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非增（見 4.5），且任何第一階段可行解皆滿足 x ≥ 0，故 Q(x;ω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≤ Q(0;ω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)。最佳解必有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= Q(x*;ω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 ≤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，故此上界保留至少一個最佳解。　∎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好處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有了明確上界後，(35)(36)(37) 中的對偶變數才有可推導的界（見 4.7 節），對 DRO 模型的 presolve 與數值穩定性幫助最大。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此閉式解依賴 (10) 的目標式結構。若日後在 (10) 中加入其他懲罰項（例如對未服務傷患的一次性固定懲罰），此公式必須同步修改，否則會給出錯誤的上界而切掉最佳解。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4.7　VI-9　風險層與 DRO 對偶變數的界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Benders master 的風險層。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新增。不改寫任何限制式，僅為 (1b)(1e)(35) 中的既有變數加上上下界。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[OPT] 保最佳性。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共同部分（MCVaR 與三種 DRO 皆適用）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　≤　φ　≤　max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0　≤　ℓ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　≤　max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−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,　　∀s ∈ S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φ 的界：由 (1b)，離散分佈下的最佳 φ* 是 {Q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} 的 α-分位數（Rockafellar–Uryasev），必落在 [min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, max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]，而後者被 [min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, max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] 包住。ℓ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的界：由 (1e)，最佳解取 ℓ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= (Q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− φ)⁺，其值不超過 max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−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Box 模糊集（Theorem 1，式 (35)；已實作）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由 (35) 的等式 eγ + ζ − ϖ = Q 與互補鬆弛，最佳解中每個 s 至多有一個 ζ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、ϖ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為正，且可取 γ ∈ [min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, max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]，此時 ζ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= (Q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− γ)⁺、ϖ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= (γ − Q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)⁺，因此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0 ≤ ζ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, ϖ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≤ max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−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,　　∀s ∈ S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0 ≤ ζ̂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, ϖ̂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≤ max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q̄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−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s∈S</w:t>
      </w:r>
      <w:r>
        <w:rPr>
          <w:rFonts w:ascii="Times New Roman" w:eastAsia="新細明體" w:hAnsi="Times New Roman"/>
          <w:sz w:val="22"/>
          <w:szCs w:val="22"/>
        </w:rPr>
        <w:t xml:space="preserve"> q̲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,　　∀s ∈ S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其中帶 hat 的對偶變數對應 (35) 的第二組等式 eγ̂ + ζ̂ − ϖ̂ = ℓ，其界由 ℓ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的界推得。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Ellipsoidal 與 Polyhedral（Theorem 2、3；尚未推導）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式 (36) 的 ‖A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E</w:t>
      </w:r>
      <w:r>
        <w:rPr>
          <w:rFonts w:ascii="Times New Roman" w:eastAsia="新細明體" w:hAnsi="Times New Roman"/>
          <w:sz w:val="22"/>
          <w:szCs w:val="22"/>
        </w:rPr>
        <w:t xml:space="preserve">ᵀQ + A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E</w:t>
      </w:r>
      <w:r>
        <w:rPr>
          <w:rFonts w:ascii="Times New Roman" w:eastAsia="新細明體" w:hAnsi="Times New Roman"/>
          <w:sz w:val="22"/>
          <w:szCs w:val="22"/>
        </w:rPr>
        <w:t xml:space="preserve">ᵀΔ + πA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E</w:t>
      </w:r>
      <w:r>
        <w:rPr>
          <w:rFonts w:ascii="Times New Roman" w:eastAsia="新細明體" w:hAnsi="Times New Roman"/>
          <w:sz w:val="22"/>
          <w:szCs w:val="22"/>
        </w:rPr>
        <w:t xml:space="preserve">ᵀe‖₂ ≤ ν 與式 (37) 的 ‖A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P</w:t>
      </w:r>
      <w:r>
        <w:rPr>
          <w:rFonts w:ascii="Times New Roman" w:eastAsia="新細明體" w:hAnsi="Times New Roman"/>
          <w:sz w:val="22"/>
          <w:szCs w:val="22"/>
        </w:rPr>
        <w:t xml:space="preserve">ᵀQ + A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P</w:t>
      </w:r>
      <w:r>
        <w:rPr>
          <w:rFonts w:ascii="Times New Roman" w:eastAsia="新細明體" w:hAnsi="Times New Roman"/>
          <w:sz w:val="22"/>
          <w:szCs w:val="22"/>
        </w:rPr>
        <w:t xml:space="preserve">ᵀΓ + χA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P</w:t>
      </w:r>
      <w:r>
        <w:rPr>
          <w:rFonts w:ascii="Times New Roman" w:eastAsia="新細明體" w:hAnsi="Times New Roman"/>
          <w:sz w:val="22"/>
          <w:szCs w:val="22"/>
        </w:rPr>
        <w:t xml:space="preserve">ᵀe‖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∞</w:t>
      </w:r>
      <w:r>
        <w:rPr>
          <w:rFonts w:ascii="Times New Roman" w:eastAsia="新細明體" w:hAnsi="Times New Roman"/>
          <w:sz w:val="22"/>
          <w:szCs w:val="22"/>
        </w:rPr>
        <w:t xml:space="preserve"> ≤ ψ 中，Δ, ν, π 與 Γ, ψ, χ 的界尚未推導，目前實作也未加入。此為已知的待補項目。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此族是所有有效不等式中最容易出錯的一族。對偶變數的界只要推導錯誤或設得過緊，會直接讓 DRO master 變成不可行（infeasible），而且症狀不明顯 —— 求解器只會回報無解，不會指出是哪一條界的問題。建議每加一條界，都用已知的可行解代入檢查，並保留可個別關閉的開關。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4.8　VI-7　每情境彙總鬆弛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Benders master。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新增。此族是第二階段限制式 (13)–(26) 對空間索引 i, j, h 加總後的投影，不取代任何一條原限制式。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[RELAX] 鬆弛下界。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4.8.1　直覺：把地圖攤平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原本的第二階段模型追蹤的是很細的事情：「災區 3 的重傷患，第 2 期被送到 CCP 7；第 4 期再從 CCP 7 送到醫院 5。」本族把「誰送到哪」這個資訊整個丟掉，只保留總量：「全系統的重傷患，第 2 期總共有幾個被送進 CCP（不分是哪一個），總共有幾個被送到醫院（不分從哪送到哪）」。地圖被壓成一張只有「期別 × 嚴重度」的表。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這樣做為什麼仍然合法：原本每一條限制式對索引加總之後仍然成立 —— 等式加總後仍是等式，「≤」加總後仍是「≤」。因此原問題的任何一個可行解，把其變數加總起來必然滿足這組彙總限制式；亦即彙總系統的可行域比原問題的投影更寬鬆，在更寬鬆的集合上取最小值只會更小，故為合法下界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這樣做為什麼有用：規模。原本 FI 有 |I|·|J|·|L|·|T| 個變數（以 |I|=70, |J|=20, |L|=3, |T|=8 計為 33,600 個），攤平後只剩 |L|·|T| = 24 個，master 塞得下。它保留了「人數守恆」與「總容量限制」，丟掉的是空間結構（距離、哪條路壞了影響哪個災區）與配對問題（哪個災區該去哪個 CCP）。所以它給出的下界，意義是「若災區與 CCP 之間沒有距離、沒有配對問題，只剩總量限制時的成本」—— 真實情況還有空間阻礙，成本只會更高，這正是它作為下界成立的理由，也是它不會太緊的原因。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4.8.2　加總步驟（全部使用論文原符號）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以下先用論文原符號示範兩條的加總過程，其餘各條作法相同。</w:t>
      </w:r>
    </w:p>
    <w:p>
      <w:pPr>
        <w:spacing w:after="6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例一　災區人數守恆，由 (15) 對 i ∈ I 加總：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(15)　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=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i,l,t−1</w:t>
      </w:r>
      <w:r>
        <w:rPr>
          <w:rFonts w:ascii="Times New Roman" w:eastAsia="新細明體" w:hAnsi="Times New Roman"/>
          <w:sz w:val="22"/>
          <w:szCs w:val="22"/>
        </w:rPr>
        <w:t xml:space="preserve">(s) +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ilts</w:t>
      </w:r>
      <w:r>
        <w:rPr>
          <w:rFonts w:ascii="Times New Roman" w:eastAsia="新細明體" w:hAnsi="Times New Roman"/>
          <w:sz w:val="22"/>
          <w:szCs w:val="22"/>
        </w:rPr>
        <w:t xml:space="preserve"> −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對 i 加總：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i,l,t−1</w:t>
      </w:r>
      <w:r>
        <w:rPr>
          <w:rFonts w:ascii="Times New Roman" w:eastAsia="新細明體" w:hAnsi="Times New Roman"/>
          <w:sz w:val="22"/>
          <w:szCs w:val="22"/>
        </w:rPr>
        <w:t xml:space="preserve">(s) +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ilts</w:t>
      </w:r>
      <w:r>
        <w:rPr>
          <w:rFonts w:ascii="Times New Roman" w:eastAsia="新細明體" w:hAnsi="Times New Roman"/>
          <w:sz w:val="22"/>
          <w:szCs w:val="22"/>
        </w:rPr>
        <w:t xml:space="preserve"> −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spacing w:after="6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例二　CCP 床位限制，由 (17)(18)(22) 對 j ∈ J 加總：</w:t>
      </w:r>
    </w:p>
    <w:p>
      <w:pPr>
        <w:keepNext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(18)　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jlr</w:t>
      </w:r>
      <w:r>
        <w:rPr>
          <w:rFonts w:ascii="Times New Roman" w:eastAsia="新細明體" w:hAnsi="Times New Roman"/>
          <w:sz w:val="22"/>
          <w:szCs w:val="22"/>
        </w:rPr>
        <w:t xml:space="preserve">(s)，再以 (17) 代入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jlr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(s)：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(22)　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+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≤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，對 j 加總：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 +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把 (13)–(26) 全部這樣走一遍後，會發現一件關鍵的事：二階決策變數只以下列四種加總形式出現，而且每一種都只是論文原變數前面掛上幾個求和符號，沒有任何新東西。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　、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　、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　、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4.8.3　實作註記：式子與程式的分工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下一節的 (V7.1)–(V7.10) 一律把這四種加總完整寫出來，不為它們另立符號 —— 式子上看到的每一個字母都是論文既有的變數，讀者不必回查任何新定義。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實作時的作法則略有不同，值得在此說明清楚，以免誤會 master 的規模。程式並不會在 master 內真的建立 |I|·|J|·|L|·|T| 個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變數：既然這四種加總在整組式子中永遠是整塊出現、從不單獨用到其中某一個 i 或 j，程式便為每一種加總各配置一個連續變數來承載它，四種合計每情境僅 (2|L| + 2|L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|)·|T| 個。換句話說，「Σ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(s)」在文件中是一個求和式，在程式中是一個變數，兩者指的是同一個量。這純粹是實作上的儲存安排，不改變式子的數學內容，故本文一律採用展開的求和式陳述。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4.8.4　彙總限制式</w:t>
      </w:r>
    </w:p>
    <w:p>
      <w:pPr>
        <w:spacing w:after="8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以下十條全部只用論文原有的符號書寫。每一條的出處與白話說明見 4.8.5 節的對照表。</w:t>
      </w:r>
    </w:p>
    <w:p>
      <w:pPr>
        <w:keepNext/>
        <w:spacing w:after="40" w:before="10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(V7.1)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RM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ilt</w:t>
      </w:r>
      <w:r>
        <w:rPr>
          <w:rFonts w:ascii="Times New Roman" w:eastAsia="新細明體" w:hAnsi="Times New Roman"/>
          <w:sz w:val="20"/>
          <w:szCs w:val="20"/>
        </w:rPr>
        <w:t xml:space="preserve">(s) =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RM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i,l,t−1</w:t>
      </w:r>
      <w:r>
        <w:rPr>
          <w:rFonts w:ascii="Times New Roman" w:eastAsia="新細明體" w:hAnsi="Times New Roman"/>
          <w:sz w:val="20"/>
          <w:szCs w:val="20"/>
        </w:rPr>
        <w:t xml:space="preserve">(s) +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ξ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ilts</w:t>
      </w:r>
      <w:r>
        <w:rPr>
          <w:rFonts w:ascii="Times New Roman" w:eastAsia="新細明體" w:hAnsi="Times New Roman"/>
          <w:sz w:val="20"/>
          <w:szCs w:val="20"/>
        </w:rPr>
        <w:t xml:space="preserve"> −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ijlt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　　l ∈ L,　t ∈ T；　初始條件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RM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il0</w:t>
      </w:r>
      <w:r>
        <w:rPr>
          <w:rFonts w:ascii="Times New Roman" w:eastAsia="新細明體" w:hAnsi="Times New Roman"/>
          <w:sz w:val="20"/>
          <w:szCs w:val="20"/>
        </w:rPr>
        <w:t xml:space="preserve">(s) = 0</w:t>
      </w:r>
    </w:p>
    <w:p>
      <w:pPr>
        <w:keepNext w:val="false"/>
        <w:spacing w:after="40" w:before="40" w:line="300"/>
        <w:ind w:left="567"/>
      </w:pP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(V7.2)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WAT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jlt</w:t>
      </w:r>
      <w:r>
        <w:rPr>
          <w:rFonts w:ascii="Times New Roman" w:eastAsia="新細明體" w:hAnsi="Times New Roman"/>
          <w:sz w:val="20"/>
          <w:szCs w:val="20"/>
        </w:rPr>
        <w:t xml:space="preserve">(s) =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WAT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j,l,t−1</w:t>
      </w:r>
      <w:r>
        <w:rPr>
          <w:rFonts w:ascii="Times New Roman" w:eastAsia="新細明體" w:hAnsi="Times New Roman"/>
          <w:sz w:val="20"/>
          <w:szCs w:val="20"/>
        </w:rPr>
        <w:t xml:space="preserve">(s) +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ijl,t−τl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　　　　　　　　　　　−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FO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jhlt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　　l ∈ 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,　t ∈ T；　初始條件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WAT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jl0</w:t>
      </w:r>
      <w:r>
        <w:rPr>
          <w:rFonts w:ascii="Times New Roman" w:eastAsia="新細明體" w:hAnsi="Times New Roman"/>
          <w:sz w:val="20"/>
          <w:szCs w:val="20"/>
        </w:rPr>
        <w:t xml:space="preserve">(s) = 0；　t − τ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 &lt; 1 時第三項為 0</w:t>
      </w:r>
    </w:p>
    <w:p>
      <w:pPr>
        <w:keepNext w:val="false"/>
        <w:spacing w:after="40" w:before="40" w:line="300"/>
        <w:ind w:left="567"/>
      </w:pP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(V7.3)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+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WAT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jlt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</w:t>
      </w:r>
      <w:r>
        <w:rPr>
          <w:rFonts w:ascii="Times New Roman" w:eastAsia="新細明體" w:hAnsi="Times New Roman"/>
          <w:sz w:val="20"/>
          <w:szCs w:val="20"/>
        </w:rPr>
        <w:t xml:space="preserve"> X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　　l ∈ 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,　t ∈ T</w:t>
      </w:r>
    </w:p>
    <w:p>
      <w:pPr>
        <w:keepNext w:val="false"/>
        <w:spacing w:after="40" w:before="40" w:line="300"/>
        <w:ind w:left="567"/>
      </w:pP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(V7.4)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</w:t>
      </w:r>
      <w:r>
        <w:rPr>
          <w:rFonts w:ascii="Times New Roman" w:eastAsia="新細明體" w:hAnsi="Times New Roman"/>
          <w:sz w:val="20"/>
          <w:szCs w:val="20"/>
        </w:rPr>
        <w:t xml:space="preserve"> X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　　l ∈ L ∖ 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,　t ∈ T</w:t>
      </w:r>
    </w:p>
    <w:p>
      <w:pPr>
        <w:keepNext w:val="false"/>
        <w:spacing w:after="40" w:before="40" w:line="300"/>
        <w:ind w:left="567"/>
      </w:pP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(V7.5)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</w:rPr>
        <w:t xml:space="preserve"> (1/α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)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V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  <w:r>
        <w:rPr>
          <w:rFonts w:ascii="Times New Roman" w:eastAsia="新細明體" w:hAnsi="Times New Roman"/>
          <w:sz w:val="20"/>
          <w:szCs w:val="20"/>
        </w:rPr>
        <w:t xml:space="preserve">　　t ∈ T</w:t>
      </w:r>
    </w:p>
    <w:p>
      <w:pPr>
        <w:keepNext w:val="false"/>
        <w:spacing w:after="40" w:before="40" w:line="300"/>
        <w:ind w:left="567"/>
      </w:pP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(V7.6)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ijlt</w:t>
      </w:r>
      <w:r>
        <w:rPr>
          <w:rFonts w:ascii="Times New Roman" w:eastAsia="新細明體" w:hAnsi="Times New Roman"/>
          <w:sz w:val="20"/>
          <w:szCs w:val="20"/>
        </w:rPr>
        <w:t xml:space="preserve">(s) ≤ κ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U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  <w:r>
        <w:rPr>
          <w:rFonts w:ascii="Times New Roman" w:eastAsia="新細明體" w:hAnsi="Times New Roman"/>
          <w:sz w:val="20"/>
          <w:szCs w:val="20"/>
        </w:rPr>
        <w:t xml:space="preserve">　　t ∈ T</w:t>
      </w:r>
    </w:p>
    <w:p>
      <w:pPr>
        <w:keepNext w:val="false"/>
        <w:spacing w:after="40" w:before="40" w:line="300"/>
        <w:ind w:left="567"/>
      </w:pP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(V7.7)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t∈T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</w:rPr>
        <w:t xml:space="preserve"> β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ijlt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Y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hj</w:t>
      </w:r>
    </w:p>
    <w:p>
      <w:pPr>
        <w:keepNext w:val="false"/>
        <w:spacing w:after="40" w:before="40" w:line="300"/>
        <w:ind w:left="567"/>
      </w:pP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(V7.8)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FO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jhlt</w:t>
      </w:r>
      <w:r>
        <w:rPr>
          <w:rFonts w:ascii="Times New Roman" w:eastAsia="新細明體" w:hAnsi="Times New Roman"/>
          <w:sz w:val="20"/>
          <w:szCs w:val="20"/>
        </w:rPr>
        <w:t xml:space="preserve">(s) 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min{ η b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</w:t>
      </w:r>
      <w:r>
        <w:rPr>
          <w:rFonts w:ascii="Times New Roman" w:eastAsia="新細明體" w:hAnsi="Times New Roman"/>
          <w:sz w:val="20"/>
          <w:szCs w:val="20"/>
        </w:rPr>
        <w:t xml:space="preserve">,　h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hts</w:t>
      </w:r>
      <w:r>
        <w:rPr>
          <w:rFonts w:ascii="Times New Roman" w:eastAsia="新細明體" w:hAnsi="Times New Roman"/>
          <w:sz w:val="20"/>
          <w:szCs w:val="20"/>
        </w:rPr>
        <w:t xml:space="preserve"> }　　t ∈ T</w:t>
      </w:r>
    </w:p>
    <w:p>
      <w:pPr>
        <w:keepNext w:val="false"/>
        <w:spacing w:after="40" w:before="40" w:line="300"/>
        <w:ind w:left="567"/>
      </w:pP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(V7.9)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ijlt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　　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(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min{ c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</w:t>
      </w:r>
      <w:r>
        <w:rPr>
          <w:rFonts w:ascii="Times New Roman" w:eastAsia="新細明體" w:hAnsi="Times New Roman"/>
          <w:sz w:val="20"/>
          <w:szCs w:val="20"/>
        </w:rPr>
        <w:t xml:space="preserve"> u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ijts</w:t>
      </w:r>
      <w:r>
        <w:rPr>
          <w:rFonts w:ascii="Times New Roman" w:eastAsia="新細明體" w:hAnsi="Times New Roman"/>
          <w:sz w:val="20"/>
          <w:szCs w:val="20"/>
        </w:rPr>
        <w:t xml:space="preserve">,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l′∈L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r=1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ξ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il′rs</w:t>
      </w:r>
      <w:r>
        <w:rPr>
          <w:rFonts w:ascii="Times New Roman" w:eastAsia="新細明體" w:hAnsi="Times New Roman"/>
          <w:sz w:val="20"/>
          <w:szCs w:val="20"/>
        </w:rPr>
        <w:t xml:space="preserve"> } ) X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  <w:r>
        <w:rPr>
          <w:rFonts w:ascii="Times New Roman" w:eastAsia="新細明體" w:hAnsi="Times New Roman"/>
          <w:sz w:val="20"/>
          <w:szCs w:val="20"/>
        </w:rPr>
        <w:t xml:space="preserve">　　t ∈ T</w:t>
      </w:r>
    </w:p>
    <w:p>
      <w:pPr>
        <w:keepNext w:val="false"/>
        <w:spacing w:after="40" w:before="40" w:line="300"/>
        <w:ind w:left="567"/>
      </w:pP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(V7.10)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l∈L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FO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jhlt</w:t>
      </w:r>
      <w:r>
        <w:rPr>
          <w:rFonts w:ascii="Times New Roman" w:eastAsia="新細明體" w:hAnsi="Times New Roman"/>
          <w:sz w:val="20"/>
          <w:szCs w:val="20"/>
        </w:rPr>
        <w:t xml:space="preserve">(s)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　　≤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(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h∈H</w:t>
      </w:r>
      <w:r>
        <w:rPr>
          <w:rFonts w:ascii="Times New Roman" w:eastAsia="新細明體" w:hAnsi="Times New Roman"/>
          <w:sz w:val="20"/>
          <w:szCs w:val="20"/>
        </w:rPr>
        <w:t xml:space="preserve"> min{ c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</w:t>
      </w:r>
      <w:r>
        <w:rPr>
          <w:rFonts w:ascii="Times New Roman" w:eastAsia="新細明體" w:hAnsi="Times New Roman"/>
          <w:sz w:val="20"/>
          <w:szCs w:val="20"/>
        </w:rPr>
        <w:t xml:space="preserve"> w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jhts</w:t>
      </w:r>
      <w:r>
        <w:rPr>
          <w:rFonts w:ascii="Times New Roman" w:eastAsia="新細明體" w:hAnsi="Times New Roman"/>
          <w:sz w:val="20"/>
          <w:szCs w:val="20"/>
        </w:rPr>
        <w:t xml:space="preserve">,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l′∈L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Amb</w:t>
      </w:r>
      <w:r>
        <w:rPr>
          <w:rFonts w:ascii="Times New Roman" w:eastAsia="新細明體" w:hAnsi="Times New Roman"/>
          <w:sz w:val="20"/>
          <w:szCs w:val="20"/>
        </w:rPr>
        <w:t xml:space="preserve">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jl′</w:t>
      </w:r>
      <w:r>
        <w:rPr>
          <w:rFonts w:ascii="Times New Roman" w:eastAsia="新細明體" w:hAnsi="Times New Roman"/>
          <w:sz w:val="20"/>
          <w:szCs w:val="20"/>
        </w:rPr>
        <w:t xml:space="preserve"> } ) X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</w:t>
      </w:r>
      <w:r>
        <w:rPr>
          <w:rFonts w:ascii="Times New Roman" w:eastAsia="新細明體" w:hAnsi="Times New Roman"/>
          <w:sz w:val="20"/>
          <w:szCs w:val="20"/>
        </w:rPr>
        <w:t xml:space="preserve">　　t ∈ T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4.8.5　每一條在說什麼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900"/>
        <w:gridCol w:w="6100"/>
        <w:gridCol w:w="2638"/>
      </w:tblGrid>
      <w:tr>
        <w:trPr>
          <w:cantSplit/>
          <w:tblHeader/>
        </w:trPr>
        <w:tc>
          <w:tcPr>
            <w:tcW w:type="dxa" w:w="9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式</w:t>
            </w:r>
          </w:p>
        </w:tc>
        <w:tc>
          <w:tcPr>
            <w:tcW w:type="dxa" w:w="61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白話</w:t>
            </w:r>
          </w:p>
        </w:tc>
        <w:tc>
          <w:tcPr>
            <w:tcW w:type="dxa" w:w="2638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來源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(V7.1)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災區人數守恆：這期還留在災區的人 ＝ 上期還留著的 ＋ 這期新產生的 − 這期被送走的。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(15)(16)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(V7.2)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CCP 等待區人數守恆：這期在等後送的人 ＝ 上期在等的 ＋ 這期治療完成的 − 這期送去醫院的。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(17)(19)(20)(21)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(V7.3)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床位不夠（需後送的嚴重度）：治療中的人加上等待後送的人，不能超過所有開設 CCP 的床位總和。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(17)(18)(22)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(V7.4)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床位不夠（其餘嚴重度）：同上，但這些嚴重度不需後送，故無等待項。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(17)(18)(23)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(V7.5)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醫護不夠：治療中的病患所需的醫護人力，不能超過所有 CCP 的醫護總和。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(17)(18)(24)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(V7.6)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救護車不夠：這期送進 CCP 的需後送傷患，不能超過所有 CCP 救護車的單期載運總量。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(13)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(V7.7)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物資不夠：整個規劃期間消耗的物資，不能超過所有醫院撥出的物資總和。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(17)(25)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(V7.8)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醫院收不下：這期送到醫院的人，不能超過所有醫院的收治量總和（取救護車與收治容量的較小者）。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(14)(26)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(V7.9)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路不夠寬（進）：這期送進 CCP 的人，不能超過所有開設 CCP 的入口道路吞吐總和。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(11′)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(V7.10)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路不夠寬（出）：這期送出 CCP 的人，不能超過所有開設 CCP 的出口道路吞吐總和。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(12′)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4.8.6　與 θ</w:t>
      </w:r>
      <w:r>
        <w:rPr>
          <w:rFonts w:ascii="Times New Roman" w:eastAsia="微軟正黑體" w:hAnsi="Times New Roman"/>
          <w:b/>
          <w:bCs/>
          <w:sz w:val="23"/>
          <w:szCs w:val="23"/>
          <w:vertAlign w:val="subscript"/>
        </w:rPr>
        <w:t xml:space="preserve">s</w:t>
      </w: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 的連結</w:t>
      </w:r>
    </w:p>
    <w:p>
      <w:pPr>
        <w:keepNext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ρ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 +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δ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　 + (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i,j</w:t>
      </w:r>
      <w:r>
        <w:rPr>
          <w:rFonts w:ascii="Times New Roman" w:eastAsia="新細明體" w:hAnsi="Times New Roman"/>
          <w:sz w:val="22"/>
          <w:szCs w:val="22"/>
        </w:rPr>
        <w:t xml:space="preserve"> 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)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　 + (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j,h</w:t>
      </w:r>
      <w:r>
        <w:rPr>
          <w:rFonts w:ascii="Times New Roman" w:eastAsia="新細明體" w:hAnsi="Times New Roman"/>
          <w:sz w:val="22"/>
          <w:szCs w:val="22"/>
        </w:rPr>
        <w:t xml:space="preserve"> 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</w:t>
      </w:r>
      <w:r>
        <w:rPr>
          <w:rFonts w:ascii="Times New Roman" w:eastAsia="新細明體" w:hAnsi="Times New Roman"/>
          <w:sz w:val="22"/>
          <w:szCs w:val="22"/>
        </w:rPr>
        <w:t xml:space="preserve"> )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前兩項對應 (10) 的滯留罰金與等待罰金，加總後恰為此形式。後兩項是 (10) 的運送成本；彙總後已無法分辨是哪一條路徑，故改以最小單價取下界，即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i,j</w:t>
      </w:r>
      <w:r>
        <w:rPr>
          <w:rFonts w:ascii="Times New Roman" w:eastAsia="新細明體" w:hAnsi="Times New Roman"/>
          <w:sz w:val="22"/>
          <w:szCs w:val="22"/>
        </w:rPr>
        <w:t xml:space="preserve"> 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 ≥ ( min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i,j</w:t>
      </w:r>
      <w:r>
        <w:rPr>
          <w:rFonts w:ascii="Times New Roman" w:eastAsia="新細明體" w:hAnsi="Times New Roman"/>
          <w:sz w:val="22"/>
          <w:szCs w:val="22"/>
        </w:rPr>
        <w:t xml:space="preserve"> 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eastAsia="新細明體" w:hAnsi="Times New Roman"/>
          <w:sz w:val="22"/>
          <w:szCs w:val="22"/>
        </w:rPr>
        <w:t xml:space="preserve"> )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i,j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4.8.7　正確性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原問題的任一可行解，其四種加總量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ijlt</w:t>
      </w:r>
      <w:r>
        <w:rPr>
          <w:rFonts w:ascii="Times New Roman" w:eastAsia="新細明體" w:hAnsi="Times New Roman"/>
          <w:sz w:val="22"/>
          <w:szCs w:val="22"/>
        </w:rPr>
        <w:t xml:space="preserve">(s)、Σ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RM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ilt</w:t>
      </w:r>
      <w:r>
        <w:rPr>
          <w:rFonts w:ascii="Times New Roman" w:eastAsia="新細明體" w:hAnsi="Times New Roman"/>
          <w:sz w:val="22"/>
          <w:szCs w:val="22"/>
        </w:rPr>
        <w:t xml:space="preserve">(s)、Σ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FO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jhlt</w:t>
      </w:r>
      <w:r>
        <w:rPr>
          <w:rFonts w:ascii="Times New Roman" w:eastAsia="新細明體" w:hAnsi="Times New Roman"/>
          <w:sz w:val="22"/>
          <w:szCs w:val="22"/>
        </w:rPr>
        <w:t xml:space="preserve">(s)、Σ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WAT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必滿足 (V7.1)–(V7.10)，因為每一條都是原限制式對索引加總的直接結果。連結式的四項則如 4.8.6 所述，皆為 (10) 對應項的下界。故「θ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彙總系統的最佳值」對所有第一階段可行解恆成立。　∎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4.8.8　好處與風險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好處：此族在數學上支配 VI-3 至 VI-6 的所有切線，且提供的是逐情境的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下界，而非加總的下界 —— 這對 CVaR 尾端項至關重要（理由同 4.5 節）。規模上每情境僅需 (2|L| + 2|L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|)·|T| 個連續變數。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風險：全域加總會抹去空間結構。若未來加入高度空間相依的限制（例如指定災區只能送往特定 CCP、或某路段完全阻斷），此鬆弛會忽略空間阻礙，給出過於樂觀的下界，約束力隨之下降。此時應考慮改為分區加總（例如依 K-means 群集分區），保留部分空間資訊。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4.9　VI-10　開站使用連結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第一階段。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新增。可視為 (5) 與 (7) 的反向補強：(5)(7) 說「未開站就不能配置」，此式說「開了站就必須配置」。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[OPT] 保最佳性。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式子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　　　　　∀j ∈ J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,　　∀j ∈ J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正確性（反證）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設 (X*, V*, U*, Y*) 為最佳解，且存在 j 使 X*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1 但該 CCP 完全未被使用，即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= 0 對所有 l, t, s 成立。此時 j 的所有第二階段變數皆可取 0，將 X*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改為 0（同時令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= 0）仍滿足 (2)–(9) 與 (11)–(27)，而目標式 (1) 嚴格減少 f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0，與最佳性矛盾。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故最佳解中 X*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1 蘊含存在某 (l, t, s) 使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&gt; 0。此時由 (18) 得 TRT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≥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&gt; 0，代入 (24) 得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0；因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∈ ℤ₊（式 (9)），故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≥ 1。同理由 (25) 的左式為正得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&gt; 0，因其為整數之和，故 ≥ 1。　∎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好處與風險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防堵求解器在分支定界樹中探索「開設空殼 CCP」這類無意義的分數解。需要特別澄清一點：此式無法由求解器的 presolve 自行推得 —— presolve 只能做邏輯蘊含的推導，而上述論證用到「f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&gt; 0 故不會開空殼」這種最佳性論證，超出 presolve 的能力範圍。實際的限制是它單獨的貢獻有限，須與 VI-7 的 (V7.5)(V7.7) 疊加才會顯著影響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的分數解形狀。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4.10　VI-3　實體容量 ↔ 罰金權衡切線（已實作，預設關閉）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Benders master。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[RELAX] 鬆弛下界。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以下先假設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對 j 為常數，記為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（此為目前參數設定的情形），則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=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N，其中 N :=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。若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隨 j 而異，將所有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N 改寫為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即可，推導完全相同。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式子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對任一參考值 N₀ ∈ {0, 1, …, |J|}，定義作用期集合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(N₀) := { t ∈ T :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  <w:r>
        <w:rPr>
          <w:rFonts w:ascii="Times New Roman" w:eastAsia="新細明體" w:hAnsi="Times New Roman"/>
          <w:sz w:val="22"/>
          <w:szCs w:val="22"/>
        </w:rPr>
        <w:t xml:space="preserve"> &gt;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·⌈t/τ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⌉·N₀ }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則下式對所有第一階段可行解成立：</w:t>
      </w:r>
    </w:p>
    <w:p>
      <w:pPr>
        <w:keepNext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≥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ρ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(N₀)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ξ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ilrs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　　− [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ρ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k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(N₀)</w:t>
      </w:r>
      <w:r>
        <w:rPr>
          <w:rFonts w:ascii="Times New Roman" w:eastAsia="新細明體" w:hAnsi="Times New Roman"/>
          <w:sz w:val="22"/>
          <w:szCs w:val="22"/>
        </w:rPr>
        <w:t xml:space="preserve"> ⌈t/τ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⌉ ] ·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推導</w:t>
      </w:r>
    </w:p>
    <w:p>
      <w:pPr>
        <w:keepNext/>
        <w:spacing w:after="40" w:before="10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(1)　由 (17)(18)(22)(23) 對 j 加總：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r=max(1,t−τl+1)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≤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 N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(2)　把 {1,…,t} 切成 ⌈t/τ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⌉ 段（每段長度 ≤ τ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），逐段套用 (1)：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r=1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≤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 ⌈t/τ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⌉ N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(3)　由 (15)(16) 對 i 加總並用 RM ≥ 0：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RM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ilt</w:t>
      </w:r>
      <w:r>
        <w:rPr>
          <w:rFonts w:ascii="Times New Roman" w:eastAsia="新細明體" w:hAnsi="Times New Roman"/>
          <w:sz w:val="20"/>
          <w:szCs w:val="20"/>
        </w:rPr>
        <w:t xml:space="preserve">(s) =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r=1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ξ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ilrs</w:t>
      </w:r>
      <w:r>
        <w:rPr>
          <w:rFonts w:ascii="Times New Roman" w:eastAsia="新細明體" w:hAnsi="Times New Roman"/>
          <w:sz w:val="20"/>
          <w:szCs w:val="20"/>
        </w:rPr>
        <w:t xml:space="preserve"> −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r=1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≥ 0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(4)　由 (10) 丟掉非負的第二、三、四項：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Q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s</w:t>
      </w:r>
      <w:r>
        <w:rPr>
          <w:rFonts w:ascii="Times New Roman" w:eastAsia="新細明體" w:hAnsi="Times New Roman"/>
          <w:sz w:val="20"/>
          <w:szCs w:val="20"/>
        </w:rPr>
        <w:t xml:space="preserve"> ≥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l,t</w:t>
      </w:r>
      <w:r>
        <w:rPr>
          <w:rFonts w:ascii="Times New Roman" w:eastAsia="新細明體" w:hAnsi="Times New Roman"/>
          <w:sz w:val="20"/>
          <w:szCs w:val="20"/>
        </w:rPr>
        <w:t xml:space="preserve"> ρ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 (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r=1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ξ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ilrs</w:t>
      </w:r>
      <w:r>
        <w:rPr>
          <w:rFonts w:ascii="Times New Roman" w:eastAsia="新細明體" w:hAnsi="Times New Roman"/>
          <w:sz w:val="20"/>
          <w:szCs w:val="20"/>
        </w:rPr>
        <w:t xml:space="preserve"> −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r=1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j∈J</w:t>
      </w:r>
      <w:r>
        <w:rPr>
          <w:rFonts w:ascii="Times New Roman" w:eastAsia="新細明體" w:hAnsi="Times New Roman"/>
          <w:sz w:val="20"/>
          <w:szCs w:val="20"/>
        </w:rPr>
        <w:t xml:space="preserve"> FI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ijlr</w:t>
      </w:r>
      <w:r>
        <w:rPr>
          <w:rFonts w:ascii="Times New Roman" w:eastAsia="新細明體" w:hAnsi="Times New Roman"/>
          <w:sz w:val="20"/>
          <w:szCs w:val="20"/>
        </w:rPr>
        <w:t xml:space="preserve">(s) )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　　 ≥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l,t</w:t>
      </w:r>
      <w:r>
        <w:rPr>
          <w:rFonts w:ascii="Times New Roman" w:eastAsia="新細明體" w:hAnsi="Times New Roman"/>
          <w:sz w:val="20"/>
          <w:szCs w:val="20"/>
        </w:rPr>
        <w:t xml:space="preserve"> ρ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 max{ 0,　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i∈I</w:t>
      </w:r>
      <w:r>
        <w:rPr>
          <w:rFonts w:ascii="Times New Roman" w:eastAsia="新細明體" w:hAnsi="Times New Roman"/>
          <w:sz w:val="20"/>
          <w:szCs w:val="20"/>
        </w:rPr>
        <w:t xml:space="preserve"> Σ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r=1</w:t>
      </w:r>
      <w:r>
        <w:rPr>
          <w:rFonts w:ascii="Times New Roman" w:eastAsia="新細明體" w:hAnsi="Times New Roman"/>
          <w:sz w:val="20"/>
          <w:szCs w:val="20"/>
          <w:vertAlign w:val="superscript"/>
        </w:rPr>
        <w:t xml:space="preserve">t</w:t>
      </w:r>
      <w:r>
        <w:rPr>
          <w:rFonts w:ascii="Times New Roman" w:eastAsia="新細明體" w:hAnsi="Times New Roman"/>
          <w:sz w:val="20"/>
          <w:szCs w:val="20"/>
        </w:rPr>
        <w:t xml:space="preserve"> ξ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ilrs</w:t>
      </w:r>
      <w:r>
        <w:rPr>
          <w:rFonts w:ascii="Times New Roman" w:eastAsia="新細明體" w:hAnsi="Times New Roman"/>
          <w:sz w:val="20"/>
          <w:szCs w:val="20"/>
        </w:rPr>
        <w:t xml:space="preserve"> − k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⌈t/τ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l</w:t>
      </w:r>
      <w:r>
        <w:rPr>
          <w:rFonts w:ascii="Times New Roman" w:eastAsia="新細明體" w:hAnsi="Times New Roman"/>
          <w:sz w:val="20"/>
          <w:szCs w:val="20"/>
        </w:rPr>
        <w:t xml:space="preserve">⌉N } =: G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s</w:t>
      </w:r>
      <w:r>
        <w:rPr>
          <w:rFonts w:ascii="Times New Roman" w:eastAsia="新細明體" w:hAnsi="Times New Roman"/>
          <w:sz w:val="20"/>
          <w:szCs w:val="20"/>
        </w:rPr>
        <w:t xml:space="preserve">(N)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(5)　G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s</w:t>
      </w:r>
      <w:r>
        <w:rPr>
          <w:rFonts w:ascii="Times New Roman" w:eastAsia="新細明體" w:hAnsi="Times New Roman"/>
          <w:sz w:val="20"/>
          <w:szCs w:val="20"/>
        </w:rPr>
        <w:t xml:space="preserve"> 為 N 的凸、遞減、分段線性函數（凸函數之和）；上式即 G</w:t>
      </w:r>
      <w:r>
        <w:rPr>
          <w:rFonts w:ascii="Times New Roman" w:eastAsia="新細明體" w:hAnsi="Times New Roman"/>
          <w:sz w:val="20"/>
          <w:szCs w:val="20"/>
          <w:vertAlign w:val="subscript"/>
        </w:rPr>
        <w:t xml:space="preserve">s</w:t>
      </w:r>
      <w:r>
        <w:rPr>
          <w:rFonts w:ascii="Times New Roman" w:eastAsia="新細明體" w:hAnsi="Times New Roman"/>
          <w:sz w:val="20"/>
          <w:szCs w:val="20"/>
        </w:rPr>
        <w:t xml:space="preserve"> 在 N₀ 的次梯度切線 —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被排除的期以 max{0,·} ≥ 0 放寬，被保留的期以線性部分 ≤ max{0,·} 下界之 —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0"/>
          <w:szCs w:val="20"/>
        </w:rPr>
        <w:t xml:space="preserve">　　　故對所有 N ∈ [0, |J|] 有效，而非僅在 N₀ 附近。　∎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為何預設關閉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此式是一組很強的閉式下界切線，但其約束力已被 VI-7 的 (V7.3)(V7.4) 與 (V7.1) 在數學上完全支配。兩者同時開啟只會在 master 中留下冗餘限制式，拖慢每個節點的 LP 求解。保留實作的理由是：VI-3 有完整的閉式與五步推導，在論文中比 VI-7 好陳述、好證明，亦可作為 ablation 實驗中單獨一列的對照組。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4.11　VI-4 / VI-5 / VI-6　救護車、醫護、物資的同型權衡（未實作）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Benders master。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[RELAX] 鬆弛下界。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三者與 VI-3 的推導邏輯完全相同，差別僅在步驟 (2) 所用的容量來源。式中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 即到第 t 期為止累積送入 CCP 的嚴重度 l 傷患數：</w:t>
      </w:r>
    </w:p>
    <w:p>
      <w:pPr>
        <w:keepNext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VI-4（救護車，由 (13) 對 j 與 r ≤ t 加總）：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Amb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 ≤ κ · t ·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U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VI-5（醫護，由 (24) 取單一 l 放寬）：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 ≤ α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⌈t/τ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⌉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V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keepNext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VI-6（物資，由 (25) 對 j 加總）：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　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r=1</w:t>
      </w:r>
      <w:r>
        <w:rPr>
          <w:rFonts w:ascii="Times New Roman" w:eastAsia="新細明體" w:hAnsi="Times New Roman"/>
          <w:sz w:val="22"/>
          <w:szCs w:val="22"/>
          <w:vertAlign w:val="superscript"/>
        </w:rPr>
        <w:t xml:space="preserve">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i∈I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FI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ijlr</w:t>
      </w:r>
      <w:r>
        <w:rPr>
          <w:rFonts w:ascii="Times New Roman" w:eastAsia="新細明體" w:hAnsi="Times New Roman"/>
          <w:sz w:val="22"/>
          <w:szCs w:val="22"/>
        </w:rPr>
        <w:t xml:space="preserve">(s)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再與步驟 (3)(4)(5) 結合，即得形式與 VI-3 相同的 θ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下界切線。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未實作的理由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其一，這三條同樣被 VI-7 的 (V7.6)(V7.5)(V7.7) 完全涵蓋。其二，在目前的參數校準下，(13) 與 (24) 都不具約束力 —— 救護車的彙總容量與醫護資源池均有大量餘裕，VI-4 與 VI-5 不會產生任何有效切割。VI-6 確實有約束力（物資的下界會迫使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h,j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在鬆弛中不為零），但已包含於 (V7.7)。因此不實作是合理的取捨。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惟須注意：若未來調整參數使救護車或醫護成為瓶頸（例如降低 na 或 nv），這三條的價值會上升，屆時可考慮補上。</w:t>
      </w:r>
    </w:p>
    <w:p>
      <w:pPr>
        <w:pBdr>
          <w:bottom w:val="single" w:color="B8C2BD" w:sz="6"/>
        </w:pBdr>
        <w:spacing w:after="120" w:before="60"/>
      </w:pPr>
    </w:p>
    <w:p>
      <w:pPr>
        <w:pStyle w:val="Heading2"/>
        <w:keepNext/>
        <w:spacing w:after="140" w:before="280"/>
      </w:pP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4.12　VI-8　Y</w:t>
      </w:r>
      <w:r>
        <w:rPr>
          <w:rFonts w:ascii="Times New Roman" w:eastAsia="微軟正黑體" w:hAnsi="Times New Roman"/>
          <w:b/>
          <w:bCs/>
          <w:sz w:val="26"/>
          <w:szCs w:val="26"/>
          <w:vertAlign w:val="subscript"/>
        </w:rPr>
        <w:t xml:space="preserve">hj</w:t>
      </w:r>
      <w:r>
        <w:rPr>
          <w:rFonts w:ascii="Times New Roman" w:eastAsia="微軟正黑體" w:hAnsi="Times New Roman"/>
          <w:b/>
          <w:bCs/>
          <w:sz w:val="26"/>
          <w:szCs w:val="26"/>
        </w:rPr>
        <w:t xml:space="preserve"> 的精確彙總，與 VI-8′ 破對稱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前提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b w:val="false"/>
          <w:bCs w:val="false"/>
          <w:sz w:val="22"/>
          <w:szCs w:val="22"/>
        </w:rPr>
        <w:t xml:space="preserve">本節所有結論以下列前提為條件：cy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</w:rPr>
        <w:t xml:space="preserve"> 與 h, j 無關（記為 cy），且 s̄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</w:rPr>
        <w:t xml:space="preserve"> 與 h 無關。目前的參數設定滿足此前提（cy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</w:rPr>
        <w:t xml:space="preserve"> 一律為常數，s̄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</w:rPr>
        <w:t xml:space="preserve"> 對所有醫院同值）。若日後改為與距離相關（例如比照 t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  <w:vertAlign w:val="subscript"/>
        </w:rPr>
        <w:t xml:space="preserve">jh</w:t>
      </w:r>
      <w:r>
        <w:rPr>
          <w:rFonts w:ascii="Times New Roman" w:eastAsia="新細明體" w:hAnsi="Times New Roman"/>
          <w:b w:val="false"/>
          <w:bCs w:val="false"/>
          <w:sz w:val="22"/>
          <w:szCs w:val="22"/>
        </w:rPr>
        <w:t xml:space="preserve"> 的設定），本節兩式皆會切掉真正的最佳解，必須停用。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VI-8　精確彙總（未實作）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第一階段。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重構 (4) 與 (7)，並將目標式 (1) 第四項與限制式 (25) 的右手邊改寫。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[EXACT] 等價重構（在上述前提下）。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令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:=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，模型改寫為：</w:t>
      </w:r>
    </w:p>
    <w:p>
      <w:pPr>
        <w:keepNext w:val="false"/>
        <w:spacing w:after="4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目標式 (1) 第四項：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cy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　→　cy ·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(7)　→　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ȳ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X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∀j ∈ J</w:t>
      </w:r>
    </w:p>
    <w:p>
      <w:pPr>
        <w:keepNext w:val="false"/>
        <w:spacing w:after="4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(25)　→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t∈T</w:t>
      </w:r>
      <w:r>
        <w:rPr>
          <w:rFonts w:ascii="Times New Roman" w:eastAsia="新細明體" w:hAnsi="Times New Roman"/>
          <w:sz w:val="22"/>
          <w:szCs w:val="22"/>
        </w:rPr>
        <w:t xml:space="preserve">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l∈L</w:t>
      </w:r>
      <w:r>
        <w:rPr>
          <w:rFonts w:ascii="Times New Roman" w:eastAsia="新細明體" w:hAnsi="Times New Roman"/>
          <w:sz w:val="22"/>
          <w:szCs w:val="22"/>
        </w:rPr>
        <w:t xml:space="preserve"> β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eastAsia="新細明體" w:hAnsi="Times New Roman"/>
          <w:sz w:val="22"/>
          <w:szCs w:val="22"/>
        </w:rPr>
        <w:t xml:space="preserve"> REG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jlt</w:t>
      </w:r>
      <w:r>
        <w:rPr>
          <w:rFonts w:ascii="Times New Roman" w:eastAsia="新細明體" w:hAnsi="Times New Roman"/>
          <w:sz w:val="22"/>
          <w:szCs w:val="22"/>
        </w:rPr>
        <w:t xml:space="preserve">(s) ≤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,　　∀j ∈ J, s ∈ S</w:t>
      </w:r>
    </w:p>
    <w:p>
      <w:pPr>
        <w:keepNext w:val="false"/>
        <w:spacing w:after="120" w:before="4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(4)（原 |H| 條）　→　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h∈H</w:t>
      </w:r>
      <w:r>
        <w:rPr>
          <w:rFonts w:ascii="Times New Roman" w:eastAsia="新細明體" w:hAnsi="Times New Roman"/>
          <w:sz w:val="22"/>
          <w:szCs w:val="22"/>
        </w:rPr>
        <w:t xml:space="preserve"> s̄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　（1 條）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等價性：Y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在模型中僅以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（式 (7)(25)）與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h,j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（式 (1)）出現，唯一涉及個別 h 的是列上限 (4)。在完全二部圖上、僅有列和上限而無弧上限的運輸可行性問題中，給定 (W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)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存在滿足 (4) 的非負整數解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，其充要條件為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W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eastAsia="新細明體" w:hAnsi="Times New Roman"/>
          <w:sz w:val="22"/>
          <w:szCs w:val="22"/>
        </w:rPr>
        <w:t xml:space="preserve"> ≤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 s̄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（Gale–Hoffman 可行性條件）。故兩模型的最佳值完全相同；報表所需的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可於求解後以貪婪分配還原。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效益：第一階段整數變數由 |H|·|J| + 3|J| 降為 4|J|。以 |H| = 18、|J| = 20 計，420 個降為 80 個（減少 81%），且每條 Benders cut 的項數同步下降。醫院層級的完全對稱性隨之消失。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未實作的理由：此重構需同時修改建模函數、子問題 oracle、cut 結構與輸出還原四處，風險較高，建議在其他各族的效益確認後再單獨進行。</w:t>
      </w:r>
    </w:p>
    <w:p>
      <w:pPr>
        <w:pStyle w:val="Heading3"/>
        <w:keepNext/>
        <w:spacing w:after="100" w:before="200"/>
      </w:pPr>
      <w:r>
        <w:rPr>
          <w:rFonts w:ascii="Times New Roman" w:eastAsia="微軟正黑體" w:hAnsi="Times New Roman"/>
          <w:b/>
          <w:bCs/>
          <w:sz w:val="23"/>
          <w:szCs w:val="23"/>
        </w:rPr>
        <w:t xml:space="preserve">VI-8′　破對稱（已實作，預設關閉）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作用階段　</w:t>
      </w:r>
      <w:r>
        <w:rPr>
          <w:rFonts w:ascii="Times New Roman" w:eastAsia="新細明體" w:hAnsi="Times New Roman"/>
          <w:sz w:val="22"/>
          <w:szCs w:val="22"/>
        </w:rPr>
        <w:t xml:space="preserve">第一階段。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與原式關係　</w:t>
      </w:r>
      <w:r>
        <w:rPr>
          <w:rFonts w:ascii="Times New Roman" w:eastAsia="新細明體" w:hAnsi="Times New Roman"/>
          <w:sz w:val="22"/>
          <w:szCs w:val="22"/>
        </w:rPr>
        <w:t xml:space="preserve">新增。</w:t>
      </w:r>
    </w:p>
    <w:p>
      <w:pPr>
        <w:spacing w:after="100" w:line="300"/>
        <w:ind w:left="0"/>
      </w:pPr>
      <w:r>
        <w:rPr>
          <w:rFonts w:ascii="Times New Roman" w:eastAsia="微軟正黑體" w:hAnsi="Times New Roman"/>
          <w:b/>
          <w:bCs/>
          <w:sz w:val="22"/>
          <w:szCs w:val="22"/>
        </w:rPr>
        <w:t xml:space="preserve">型別　</w:t>
      </w:r>
      <w:r>
        <w:rPr>
          <w:rFonts w:ascii="Times New Roman" w:eastAsia="新細明體" w:hAnsi="Times New Roman"/>
          <w:sz w:val="22"/>
          <w:szCs w:val="22"/>
        </w:rPr>
        <w:t xml:space="preserve">[OPT] 保最佳性（在上述前提下）。</w:t>
      </w:r>
    </w:p>
    <w:p>
      <w:pPr>
        <w:keepNext w:val="false"/>
        <w:spacing w:after="120" w:before="100" w:line="300"/>
        <w:ind w:left="567"/>
      </w:pPr>
      <w:r>
        <w:rPr>
          <w:rFonts w:ascii="Times New Roman" w:eastAsia="新細明體" w:hAnsi="Times New Roman"/>
          <w:sz w:val="22"/>
          <w:szCs w:val="22"/>
        </w:rPr>
        <w:t xml:space="preserve">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h(k) j</w:t>
      </w:r>
      <w:r>
        <w:rPr>
          <w:rFonts w:ascii="Times New Roman" w:eastAsia="新細明體" w:hAnsi="Times New Roman"/>
          <w:sz w:val="22"/>
          <w:szCs w:val="22"/>
        </w:rPr>
        <w:t xml:space="preserve"> ≥ Σ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j∈J</w:t>
      </w:r>
      <w:r>
        <w:rPr>
          <w:rFonts w:ascii="Times New Roman" w:eastAsia="新細明體" w:hAnsi="Times New Roman"/>
          <w:sz w:val="22"/>
          <w:szCs w:val="22"/>
        </w:rPr>
        <w:t xml:space="preserve"> 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h(k+1) j</w:t>
      </w:r>
      <w:r>
        <w:rPr>
          <w:rFonts w:ascii="Times New Roman" w:eastAsia="新細明體" w:hAnsi="Times New Roman"/>
          <w:sz w:val="22"/>
          <w:szCs w:val="22"/>
        </w:rPr>
        <w:t xml:space="preserve">,　　k = 1, …, |H| − 1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其中 h(1), …, h(|H|) 為醫院集合的任一固定排序。在 cy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與 s̄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</w:t>
      </w:r>
      <w:r>
        <w:rPr>
          <w:rFonts w:ascii="Times New Roman" w:eastAsia="新細明體" w:hAnsi="Times New Roman"/>
          <w:sz w:val="22"/>
          <w:szCs w:val="22"/>
        </w:rPr>
        <w:t xml:space="preserve"> 皆同值的前提下，任意置換醫院索引都會得到同目標值的解，故必存在一個最佳解使各醫院的撥出總量呈遞減排序。此式強制求解器只探索其中一種排列。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此式的效益不如 VI-8 的彙總，但改動極小、不需重構模型。目前預設關閉，以保留未來把 cy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hj</w:t>
      </w:r>
      <w:r>
        <w:rPr>
          <w:rFonts w:ascii="Times New Roman" w:eastAsia="新細明體" w:hAnsi="Times New Roman"/>
          <w:sz w:val="22"/>
          <w:szCs w:val="22"/>
        </w:rPr>
        <w:t xml:space="preserve"> 改為距離相關的彈性。</w:t>
      </w:r>
    </w:p>
    <w:p>
      <w:r>
        <w:br w:type="page"/>
      </w:r>
    </w:p>
    <w:p>
      <w:pPr>
        <w:pStyle w:val="Heading1"/>
        <w:keepNext/>
        <w:spacing w:after="180" w:before="36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5　正確性驗證程序</w:t>
      </w:r>
    </w:p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有效不等式寫錯時不會產生任何錯誤訊息，只會安靜地回傳偏低的最佳值 —— 這是它最危險的地方。以下三關全部通過才可納入正式實驗。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1750"/>
        <w:gridCol w:w="5888"/>
        <w:gridCol w:w="2000"/>
      </w:tblGrid>
      <w:tr>
        <w:trPr>
          <w:cantSplit/>
          <w:tblHeader/>
        </w:trPr>
        <w:tc>
          <w:tcPr>
            <w:tcW w:type="dxa" w:w="175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關卡</w:t>
            </w:r>
          </w:p>
        </w:tc>
        <w:tc>
          <w:tcPr>
            <w:tcW w:type="dxa" w:w="5888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作法</w:t>
            </w:r>
          </w:p>
        </w:tc>
        <w:tc>
          <w:tcPr>
            <w:tcW w:type="dxa" w:w="20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針對的型別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一、最佳值一致</w:t>
            </w:r>
          </w:p>
        </w:tc>
        <w:tc>
          <w:tcPr>
            <w:tcW w:type="dxa" w:w="5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在小型 instance 上以 extensive form 求解，比較「全部有效不等式關閉」與「全部開啟」兩種設定的最佳目標值，必須逐位相同（不是在 gap 容忍度內相同）。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EXACT 與 OPT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二、隨機解逐條檢查</w:t>
            </w:r>
          </w:p>
        </w:tc>
        <w:tc>
          <w:tcPr>
            <w:tcW w:type="dxa" w:w="5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隨機抽取若干個第一階段可行解 x（含全零解），以子問題求出真實的 Q(x;ω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)，逐條檢查每一族有效不等式的右手邊是否 ≤ Q(x;ω</w:t>
            </w:r>
            <w:r>
              <w:rPr>
                <w:rFonts w:ascii="Times New Roman" w:eastAsia="新細明體" w:hAnsi="Times New Roman"/>
                <w:sz w:val="20"/>
                <w:szCs w:val="20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)。VI-3 須特別測試 N 很小（1–3）與很大（≥ 8）兩端。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RELAX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三、最佳解代回</w:t>
            </w:r>
          </w:p>
        </w:tc>
        <w:tc>
          <w:tcPr>
            <w:tcW w:type="dxa" w:w="5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取已知的最佳（或目前最好的）解，代入所有 OPT 型的式子檢查無違反。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OPT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此外建議：每一族保留可個別關閉的開關，以便在 ablation 實驗中逐族加入、觀察各自的邊際貢獻；並在關閉全部有效不等式時，確認模型的變數數、限制式數與最佳值皆與原始版本完全相同。</w:t>
      </w:r>
    </w:p>
    <w:p>
      <w:pPr>
        <w:pStyle w:val="Heading1"/>
        <w:keepNext/>
        <w:spacing w:after="180" w:before="360"/>
      </w:pPr>
      <w:r>
        <w:rPr>
          <w:rFonts w:ascii="Times New Roman" w:eastAsia="微軟正黑體" w:hAnsi="Times New Roman"/>
          <w:b/>
          <w:bCs/>
          <w:sz w:val="30"/>
          <w:szCs w:val="30"/>
        </w:rPr>
        <w:t xml:space="preserve">6　對原始草稿的修正說明</w:t>
      </w:r>
    </w:p>
    <w:p>
      <w:pPr>
        <w:spacing w:after="120" w:before="0" w:line="300"/>
      </w:pPr>
      <w:r>
        <w:rPr>
          <w:rFonts w:ascii="Times New Roman" w:eastAsia="新細明體" w:hAnsi="Times New Roman"/>
          <w:sz w:val="22"/>
          <w:szCs w:val="22"/>
        </w:rPr>
        <w:t xml:space="preserve">本節列出本文相對於原始草稿所做的更正，以及更正的理由，供對照檢查之用。</w:t>
      </w:r>
    </w:p>
    <w:tbl>
      <w:tblPr>
        <w:tblW w:type="dxa" w:w="9638"/>
        <w:tblBorders>
          <w:top w:val="single" w:color="9AA5A0" w:sz="4"/>
          <w:left w:val="single" w:color="C8CFCB" w:sz="2"/>
          <w:bottom w:val="single" w:color="9AA5A0" w:sz="4"/>
          <w:right w:val="single" w:color="C8CFCB" w:sz="2"/>
          <w:insideH w:val="single" w:color="C8CFCB" w:sz="2"/>
          <w:insideV w:val="single" w:color="C8CFCB" w:sz="2"/>
        </w:tblBorders>
      </w:tblPr>
      <w:tblGrid>
        <w:gridCol w:w="500"/>
        <w:gridCol w:w="2400"/>
        <w:gridCol w:w="3200"/>
        <w:gridCol w:w="3538"/>
      </w:tblGrid>
      <w:tr>
        <w:trPr>
          <w:cantSplit/>
          <w:tblHeader/>
        </w:trPr>
        <w:tc>
          <w:tcPr>
            <w:tcW w:type="dxa" w:w="5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原草稿寫法</w:t>
            </w:r>
          </w:p>
        </w:tc>
        <w:tc>
          <w:tcPr>
            <w:tcW w:type="dxa" w:w="3200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3538"/>
            <w:shd w:fill="E8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本文的處理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以 K 表示 CCP 救護車單期運送量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論文 3.3 節用的是 κ，K 為自創符號且與其他記號易混淆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改用 κ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VI-7、VI-3 寫成 k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·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X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k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帶有 j 索引，對 j 加總後不能提到求和符號外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改為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j∈J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k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X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；並註明 k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對 j 為常數時才可寫成 k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自創 Ď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、Ď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、Ď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、D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四個需求符號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四者僅差在「是否跨期累積」與「加掉哪一個索引」，但外觀幾乎相同，讀者必須反覆回查符號表；且草稿只定義了其中一部分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四個符號全部取消。所有需求量一律直接寫成論文原有參數 ξ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ilts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的加總（見 2.2 節體例說明）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VI-2 寫成 Q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(0) =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l,t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ρ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Ď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未說明 Ď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已對 i 加總，讀者易誤解為漏了 i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改寫為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i∈I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l∈L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t∈T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ρ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(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r=1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ξ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ilrs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)，對 i 的加總直接可見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VI-7 只列出六條彙總限制式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缺少 (23) 的非後送版本、(20) 的初始條件，以及由 (11′)(12′) 加總而來的兩條道路限制式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補齊為 (V7.1)–(V7.10)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VI-7 的 θ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連結式只含前兩項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遺漏 (10) 的第三、四項（運送成本），會使下界偏鬆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補上以最小單價取下界的兩項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VI-10 風險寫「presolve 通常能自行推導出這層邏輯」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不正確。presolve 只做邏輯蘊含推導，而此式來自最佳性論證（f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&gt; 0），presolve 推不出來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改為說明 presolve 無法推得，真正的限制是單獨貢獻有限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VI-3 的狀態欄同時標示叉號與「已實作 phys（關）」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叉號（代表未實作）與「已實作」文字互相矛盾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改為「已實作，預設關閉」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VI-9 僅列出 box 模糊集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缺少 ellipsoidal 的 Δ, ν, π 與 polyhedral 的 Γ, ψ, χ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明確標示這兩族的界尚未推導、亦未實作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VI-1 未提及 x̄ 違反 (2)(3)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實作上直接代入會不可行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補上「暫時鬆開一階限制式」的作法與其合法性論證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VI-0(b) 未給出推導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k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為何是有效上界並非顯然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補上經由 (19)(18)(21)(22) 的完整推導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未區分作用階段與新增／取代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審查時難以判斷模型是否被改動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全部補上，並整理為第 3 節的總表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VI-7 的彙總變數命名為 F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、R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、O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、W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新符號與原變數的對應關係看不出來；且 W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與 VI-8 的 W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撞名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不另立符號。(V7.1)–(V7.10) 一律直接寫成論文原變數的求和式，如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i∈I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j∈J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FI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ijlt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(s)；彙總變數僅是程式中的儲存方式，見 4.8.3 節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VI-3、VI-4/5/6 使用自創符號 Ǎ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s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lt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又一個需要回查的新符號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全部展開為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r=1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perscript"/>
              </w:rPr>
              <w:t xml:space="preserve">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i∈I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Σ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j∈J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FI</w:t>
            </w:r>
            <w:r>
              <w:rPr>
                <w:rFonts w:ascii="Times New Roman" w:eastAsia="新細明體" w:hAnsi="Times New Roman"/>
                <w:sz w:val="18"/>
                <w:szCs w:val="18"/>
                <w:vertAlign w:val="subscript"/>
              </w:rPr>
              <w:t xml:space="preserve">ijlr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(s)</w:t>
            </w:r>
          </w:p>
        </w:tc>
      </w:tr>
    </w:tbl>
    <w:p>
      <w:pPr>
        <w:spacing w:after="120" w:before="0" w:line="300"/>
        <w:jc w:val="both"/>
      </w:pPr>
      <w:r>
        <w:rPr>
          <w:rFonts w:ascii="Times New Roman" w:eastAsia="新細明體" w:hAnsi="Times New Roman"/>
          <w:sz w:val="22"/>
          <w:szCs w:val="22"/>
        </w:rPr>
        <w:t xml:space="preserve">另有兩點確認無誤：其一，草稿指出式 (14) 與 (26) 的左手邊完全相同，此觀察正確，構成 VI-11 的基礎。其二，草稿將 ζ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與 ϖ</w:t>
      </w:r>
      <w:r>
        <w:rPr>
          <w:rFonts w:ascii="Times New Roman" w:eastAsia="新細明體" w:hAnsi="Times New Roman"/>
          <w:sz w:val="22"/>
          <w:szCs w:val="22"/>
          <w:vertAlign w:val="subscript"/>
        </w:rPr>
        <w:t xml:space="preserve">s</w:t>
      </w:r>
      <w:r>
        <w:rPr>
          <w:rFonts w:ascii="Times New Roman" w:eastAsia="新細明體" w:hAnsi="Times New Roman"/>
          <w:sz w:val="22"/>
          <w:szCs w:val="22"/>
        </w:rPr>
        <w:t xml:space="preserve"> 標為論文原創符號，此判斷正確 —— 兩者確實出現在 Theorem 1 與附錄 A.1 的式 (35)、(A.4) 中。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eastAsia="微軟正黑體" w:hAnsi="Times New Roman"/>
      <w:b/>
      <w:bCs/>
      <w:color w:val="1C222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eastAsia="微軟正黑體" w:hAnsi="Times New Roman"/>
      <w:b/>
      <w:bCs/>
      <w:color w:val="1C222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eastAsia="微軟正黑體" w:hAnsi="Times New Roman"/>
      <w:b/>
      <w:bCs/>
      <w:color w:val="3B454F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有效不等式之設計與說明</dc:title>
  <dc:creator>Amy</dc:creator>
  <cp:lastModifiedBy>Un-named</cp:lastModifiedBy>
  <cp:revision>1</cp:revision>
  <dcterms:created xsi:type="dcterms:W3CDTF">2026-09-01T12:55:46.083Z</dcterms:created>
  <dcterms:modified xsi:type="dcterms:W3CDTF">2026-09-01T12:55:46.083Z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