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Indian Oil Corporation Limited</w:t>
      </w:r>
    </w:p>
    <w:p>
      <w:pPr>
        <w:pStyle w:val="Heading1"/>
      </w:pPr>
      <w:r>
        <w:t>Monthly Refinery Status Report</w:t>
      </w:r>
    </w:p>
    <w:p>
      <w:r>
        <w:t>This report summarizes the operational status of the refinery unit for the current month. All safety protocols were followed as per standard operating procedures. The following table lists key production figures recorded during the reporting period.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Unit</w:t>
            </w:r>
          </w:p>
        </w:tc>
        <w:tc>
          <w:tcPr>
            <w:tcW w:type="dxa" w:w="2880"/>
          </w:tcPr>
          <w:p>
            <w:r>
              <w:rPr>
                <w:b/>
              </w:rPr>
              <w:t>Value</w:t>
            </w:r>
          </w:p>
        </w:tc>
      </w:tr>
      <w:tr>
        <w:tc>
          <w:tcPr>
            <w:tcW w:type="dxa" w:w="2880"/>
          </w:tcPr>
          <w:p>
            <w:r>
              <w:t>Crude Oil Processed</w:t>
            </w:r>
          </w:p>
        </w:tc>
        <w:tc>
          <w:tcPr>
            <w:tcW w:type="dxa" w:w="2880"/>
          </w:tcPr>
          <w:p>
            <w:r>
              <w:t>Barrels</w:t>
            </w:r>
          </w:p>
        </w:tc>
        <w:tc>
          <w:tcPr>
            <w:tcW w:type="dxa" w:w="2880"/>
          </w:tcPr>
          <w:p>
            <w:r>
              <w:t>125000</w:t>
            </w:r>
          </w:p>
        </w:tc>
      </w:tr>
      <w:tr>
        <w:tc>
          <w:tcPr>
            <w:tcW w:type="dxa" w:w="2880"/>
          </w:tcPr>
          <w:p>
            <w:r>
              <w:t>Diesel Output</w:t>
            </w:r>
          </w:p>
        </w:tc>
        <w:tc>
          <w:tcPr>
            <w:tcW w:type="dxa" w:w="2880"/>
          </w:tcPr>
          <w:p>
            <w:r>
              <w:t>Barrels</w:t>
            </w:r>
          </w:p>
        </w:tc>
        <w:tc>
          <w:tcPr>
            <w:tcW w:type="dxa" w:w="2880"/>
          </w:tcPr>
          <w:p>
            <w:r>
              <w:t>48000</w:t>
            </w:r>
          </w:p>
        </w:tc>
      </w:tr>
      <w:tr>
        <w:tc>
          <w:tcPr>
            <w:tcW w:type="dxa" w:w="2880"/>
          </w:tcPr>
          <w:p>
            <w:r>
              <w:t>Petrol Output</w:t>
            </w:r>
          </w:p>
        </w:tc>
        <w:tc>
          <w:tcPr>
            <w:tcW w:type="dxa" w:w="2880"/>
          </w:tcPr>
          <w:p>
            <w:r>
              <w:t>Barrels</w:t>
            </w:r>
          </w:p>
        </w:tc>
        <w:tc>
          <w:tcPr>
            <w:tcW w:type="dxa" w:w="2880"/>
          </w:tcPr>
          <w:p>
            <w:r>
              <w:t>39500</w:t>
            </w:r>
          </w:p>
        </w:tc>
      </w:tr>
      <w:tr>
        <w:tc>
          <w:tcPr>
            <w:tcW w:type="dxa" w:w="2880"/>
          </w:tcPr>
          <w:p>
            <w:r>
              <w:t>Downtime Hours</w:t>
            </w:r>
          </w:p>
        </w:tc>
        <w:tc>
          <w:tcPr>
            <w:tcW w:type="dxa" w:w="2880"/>
          </w:tcPr>
          <w:p>
            <w:r>
              <w:t>Hours</w:t>
            </w:r>
          </w:p>
        </w:tc>
        <w:tc>
          <w:tcPr>
            <w:tcW w:type="dxa" w:w="2880"/>
          </w:tcPr>
          <w:p>
            <w:r>
              <w:t>6</w:t>
            </w:r>
          </w:p>
        </w:tc>
      </w:tr>
    </w:tbl>
    <w:p/>
    <w:p>
      <w:r>
        <w:t>Prepared by the Information Systems Department. For internal circulation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