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ABD2E" w14:textId="77777777" w:rsidR="00756FC4" w:rsidRPr="00413AE6" w:rsidRDefault="00756FC4">
      <w:pPr>
        <w:pStyle w:val="Heading1"/>
        <w:rPr>
          <w:rFonts w:ascii="Times New Roman" w:eastAsia="Times New Roman" w:hAnsi="Times New Roman" w:cs="Times New Roman"/>
          <w:b/>
          <w:bCs/>
          <w:color w:val="722569"/>
          <w:kern w:val="36"/>
          <w14:ligatures w14:val="none"/>
        </w:rPr>
      </w:pPr>
      <w:r w:rsidRPr="00413AE6">
        <w:rPr>
          <w:rFonts w:ascii="Times New Roman" w:eastAsia="Times New Roman" w:hAnsi="Times New Roman" w:cs="Times New Roman"/>
          <w:b/>
          <w:bCs/>
          <w:color w:val="722569"/>
        </w:rPr>
        <w:t>Lightwell Care Group – Healthcare Risk Assessment</w:t>
      </w:r>
    </w:p>
    <w:p w14:paraId="5DF7CFB0" w14:textId="7D107735" w:rsidR="00432F51" w:rsidRPr="00413AE6" w:rsidRDefault="00756FC4">
      <w:pPr>
        <w:pStyle w:val="NormalWeb"/>
        <w:rPr>
          <w:sz w:val="28"/>
          <w:szCs w:val="28"/>
        </w:rPr>
      </w:pPr>
      <w:r w:rsidRPr="00413AE6">
        <w:rPr>
          <w:rStyle w:val="Strong"/>
          <w:color w:val="A6399B"/>
          <w:sz w:val="28"/>
          <w:szCs w:val="28"/>
        </w:rPr>
        <w:t>Methodology and Executive Summary</w:t>
      </w:r>
      <w:r w:rsidRPr="00413AE6">
        <w:rPr>
          <w:sz w:val="28"/>
          <w:szCs w:val="28"/>
        </w:rPr>
        <w:t xml:space="preserve"> | Prepared by: </w:t>
      </w:r>
      <w:r w:rsidR="00AA4D4A" w:rsidRPr="00413AE6">
        <w:rPr>
          <w:sz w:val="28"/>
          <w:szCs w:val="28"/>
        </w:rPr>
        <w:t>Amarachi N</w:t>
      </w:r>
      <w:r w:rsidR="00432F51" w:rsidRPr="00413AE6">
        <w:rPr>
          <w:sz w:val="28"/>
          <w:szCs w:val="28"/>
        </w:rPr>
        <w:t>.</w:t>
      </w:r>
    </w:p>
    <w:p w14:paraId="68088C0A" w14:textId="69445226" w:rsidR="00756FC4" w:rsidRPr="00413AE6" w:rsidRDefault="00756FC4">
      <w:pPr>
        <w:pStyle w:val="NormalWeb"/>
        <w:rPr>
          <w:sz w:val="28"/>
          <w:szCs w:val="28"/>
        </w:rPr>
      </w:pPr>
      <w:r w:rsidRPr="00413AE6">
        <w:rPr>
          <w:sz w:val="28"/>
          <w:szCs w:val="28"/>
        </w:rPr>
        <w:t xml:space="preserve">Reporting date: 16 October 2026 | </w:t>
      </w:r>
      <w:r w:rsidRPr="00413AE6">
        <w:rPr>
          <w:rStyle w:val="Emphasis"/>
          <w:sz w:val="28"/>
          <w:szCs w:val="28"/>
        </w:rPr>
        <w:t>Simulated scenario: all organisations, people and figures are fictional.</w:t>
      </w:r>
    </w:p>
    <w:p w14:paraId="2AF13EEA" w14:textId="77777777" w:rsidR="00756FC4" w:rsidRPr="002D1880" w:rsidRDefault="00756FC4">
      <w:pPr>
        <w:pStyle w:val="Heading2"/>
        <w:rPr>
          <w:rFonts w:ascii="Times New Roman" w:eastAsia="Times New Roman" w:hAnsi="Times New Roman" w:cs="Times New Roman"/>
          <w:b/>
          <w:bCs/>
          <w:color w:val="A6399B"/>
          <w:sz w:val="28"/>
          <w:szCs w:val="28"/>
        </w:rPr>
      </w:pPr>
      <w:r w:rsidRPr="002D1880">
        <w:rPr>
          <w:rFonts w:ascii="Times New Roman" w:eastAsia="Times New Roman" w:hAnsi="Times New Roman" w:cs="Times New Roman"/>
          <w:b/>
          <w:bCs/>
          <w:color w:val="A6399B"/>
          <w:sz w:val="28"/>
          <w:szCs w:val="28"/>
        </w:rPr>
        <w:t>1. Purpose and scope</w:t>
      </w:r>
    </w:p>
    <w:p w14:paraId="04076456" w14:textId="77777777" w:rsidR="00756FC4" w:rsidRPr="0044244A" w:rsidRDefault="00756FC4">
      <w:pPr>
        <w:pStyle w:val="NormalWeb"/>
        <w:rPr>
          <w:b/>
          <w:bCs/>
          <w:sz w:val="28"/>
          <w:szCs w:val="28"/>
        </w:rPr>
      </w:pPr>
      <w:r w:rsidRPr="00413AE6">
        <w:rPr>
          <w:sz w:val="28"/>
          <w:szCs w:val="28"/>
        </w:rPr>
        <w:t xml:space="preserve">This assessment identifies, scores and plans the treatment of the principal risks facing Lightwell Medical Centre, a fictional single-site GP practice with 18,640 registered patients and 74 staff. It covers clinical safety, information security and data protection, operational resilience, workforce, regulatory compliance, finance, estates and health and safety, and supplier dependency. The aim is to give the Risk Committee a clear view </w:t>
      </w:r>
      <w:r w:rsidRPr="0044244A">
        <w:rPr>
          <w:b/>
          <w:bCs/>
          <w:sz w:val="28"/>
          <w:szCs w:val="28"/>
        </w:rPr>
        <w:t>of where the centre is outside its risk appetite, what is being done about it, and which decisions are needed now.</w:t>
      </w:r>
    </w:p>
    <w:p w14:paraId="2AA0FC1A" w14:textId="77777777" w:rsidR="00756FC4" w:rsidRPr="00413AE6" w:rsidRDefault="00756FC4">
      <w:pPr>
        <w:pStyle w:val="NormalWeb"/>
        <w:rPr>
          <w:sz w:val="28"/>
          <w:szCs w:val="28"/>
        </w:rPr>
      </w:pPr>
      <w:r w:rsidRPr="00413AE6">
        <w:rPr>
          <w:sz w:val="28"/>
          <w:szCs w:val="28"/>
        </w:rPr>
        <w:t>The deliverables are a register of 31 risks, a 5x5 risk matrix (inherent and residual), a treatment plan of 26 actions, and a report by risk owner. Likelihood and impact scores are supported by 22 simulated key risk indicators (KRIs) covering the 12 months to 30 September 2026.</w:t>
      </w:r>
    </w:p>
    <w:p w14:paraId="7CF44882" w14:textId="77777777" w:rsidR="00756FC4" w:rsidRPr="00C6044F" w:rsidRDefault="00756FC4">
      <w:pPr>
        <w:pStyle w:val="Heading2"/>
        <w:rPr>
          <w:rFonts w:ascii="Times New Roman" w:eastAsia="Times New Roman" w:hAnsi="Times New Roman" w:cs="Times New Roman"/>
          <w:b/>
          <w:bCs/>
          <w:color w:val="A6399B"/>
          <w:sz w:val="28"/>
          <w:szCs w:val="28"/>
        </w:rPr>
      </w:pPr>
      <w:r w:rsidRPr="00C6044F">
        <w:rPr>
          <w:rFonts w:ascii="Times New Roman" w:eastAsia="Times New Roman" w:hAnsi="Times New Roman" w:cs="Times New Roman"/>
          <w:b/>
          <w:bCs/>
          <w:color w:val="A6399B"/>
          <w:sz w:val="28"/>
          <w:szCs w:val="28"/>
        </w:rPr>
        <w:t>2. Scoring approach</w:t>
      </w:r>
    </w:p>
    <w:p w14:paraId="428EA5FA" w14:textId="77777777" w:rsidR="00756FC4" w:rsidRPr="00413AE6" w:rsidRDefault="00756FC4">
      <w:pPr>
        <w:pStyle w:val="NormalWeb"/>
        <w:rPr>
          <w:sz w:val="28"/>
          <w:szCs w:val="28"/>
        </w:rPr>
      </w:pPr>
      <w:r w:rsidRPr="00413AE6">
        <w:rPr>
          <w:sz w:val="28"/>
          <w:szCs w:val="28"/>
        </w:rPr>
        <w:t>Each risk is described as cause, event and consequence, assigned a single accountable owner, and scored twice on a 5x5 scale (likelihood 1–5, impact 1–5, score = likelihood x impact):</w:t>
      </w:r>
    </w:p>
    <w:p w14:paraId="7582404F" w14:textId="77777777" w:rsidR="00756FC4" w:rsidRPr="00413AE6" w:rsidRDefault="00756FC4" w:rsidP="00756FC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13AE6">
        <w:rPr>
          <w:rStyle w:val="Strong"/>
          <w:rFonts w:ascii="Times New Roman" w:eastAsia="Times New Roman" w:hAnsi="Times New Roman" w:cs="Times New Roman"/>
          <w:sz w:val="28"/>
          <w:szCs w:val="28"/>
        </w:rPr>
        <w:t>Inherent risk</w:t>
      </w:r>
      <w:r w:rsidRPr="00413AE6">
        <w:rPr>
          <w:rFonts w:ascii="Times New Roman" w:eastAsia="Times New Roman" w:hAnsi="Times New Roman" w:cs="Times New Roman"/>
          <w:sz w:val="28"/>
          <w:szCs w:val="28"/>
        </w:rPr>
        <w:t xml:space="preserve"> assumes no controls operate.</w:t>
      </w:r>
    </w:p>
    <w:p w14:paraId="20EA0465" w14:textId="77777777" w:rsidR="00756FC4" w:rsidRPr="00413AE6" w:rsidRDefault="00756FC4" w:rsidP="00756FC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13AE6">
        <w:rPr>
          <w:rStyle w:val="Strong"/>
          <w:rFonts w:ascii="Times New Roman" w:eastAsia="Times New Roman" w:hAnsi="Times New Roman" w:cs="Times New Roman"/>
          <w:sz w:val="28"/>
          <w:szCs w:val="28"/>
        </w:rPr>
        <w:t>Residual risk</w:t>
      </w:r>
      <w:r w:rsidRPr="00413AE6">
        <w:rPr>
          <w:rFonts w:ascii="Times New Roman" w:eastAsia="Times New Roman" w:hAnsi="Times New Roman" w:cs="Times New Roman"/>
          <w:sz w:val="28"/>
          <w:szCs w:val="28"/>
        </w:rPr>
        <w:t xml:space="preserve"> takes account of the controls that exist today, graded Strong, Adequate or Weak.</w:t>
      </w:r>
    </w:p>
    <w:p w14:paraId="4CB76D88" w14:textId="77777777" w:rsidR="00756FC4" w:rsidRPr="00413AE6" w:rsidRDefault="00756FC4">
      <w:pPr>
        <w:pStyle w:val="NormalWeb"/>
        <w:rPr>
          <w:sz w:val="28"/>
          <w:szCs w:val="28"/>
        </w:rPr>
      </w:pPr>
      <w:r w:rsidRPr="00413AE6">
        <w:rPr>
          <w:sz w:val="28"/>
          <w:szCs w:val="28"/>
        </w:rPr>
        <w:t>Scores map to four bands: Low (1–4), Medium (5–9), High (10–15) and Critical (16–25). Impact is judged against the worst credible dimension (patient safety, data protection, financial, operational, regulatory or reputational), so patient-safety risks can score high on impact even when likelihood is low.</w:t>
      </w:r>
    </w:p>
    <w:p w14:paraId="33F1E841" w14:textId="77777777" w:rsidR="00756FC4" w:rsidRPr="00413AE6" w:rsidRDefault="00756FC4">
      <w:pPr>
        <w:pStyle w:val="NormalWeb"/>
        <w:rPr>
          <w:sz w:val="28"/>
          <w:szCs w:val="28"/>
        </w:rPr>
      </w:pPr>
      <w:r w:rsidRPr="00413AE6">
        <w:rPr>
          <w:rStyle w:val="Strong"/>
          <w:sz w:val="28"/>
          <w:szCs w:val="28"/>
        </w:rPr>
        <w:t>Risk appetite.</w:t>
      </w:r>
      <w:r w:rsidRPr="00413AE6">
        <w:rPr>
          <w:sz w:val="28"/>
          <w:szCs w:val="28"/>
        </w:rPr>
        <w:t xml:space="preserve"> The centre has low appetite for patient safety, safeguarding and regulatory risk. For simplicity, one threshold is applied: any residual score above 9 </w:t>
      </w:r>
      <w:r w:rsidRPr="00413AE6">
        <w:rPr>
          <w:sz w:val="28"/>
          <w:szCs w:val="28"/>
        </w:rPr>
        <w:lastRenderedPageBreak/>
        <w:t>is outside appetite and must have a funded treatment action. Treatment options are Mitigate, Transfer, Avoid and Accept. Accepted risks are within appetite and monitored through KRIs. High risks are reviewed every 60 days, Medium every 90 and Low every 180.</w:t>
      </w:r>
    </w:p>
    <w:p w14:paraId="6267C407" w14:textId="77777777" w:rsidR="00756FC4" w:rsidRPr="00A96194" w:rsidRDefault="00756FC4">
      <w:pPr>
        <w:pStyle w:val="Heading2"/>
        <w:rPr>
          <w:rFonts w:ascii="Times New Roman" w:eastAsia="Times New Roman" w:hAnsi="Times New Roman" w:cs="Times New Roman"/>
          <w:b/>
          <w:bCs/>
          <w:color w:val="A6399B"/>
          <w:sz w:val="28"/>
          <w:szCs w:val="28"/>
        </w:rPr>
      </w:pPr>
      <w:r w:rsidRPr="00A96194">
        <w:rPr>
          <w:rFonts w:ascii="Times New Roman" w:eastAsia="Times New Roman" w:hAnsi="Times New Roman" w:cs="Times New Roman"/>
          <w:b/>
          <w:bCs/>
          <w:color w:val="A6399B"/>
          <w:sz w:val="28"/>
          <w:szCs w:val="28"/>
        </w:rPr>
        <w:t>3. Key findings</w:t>
      </w:r>
    </w:p>
    <w:p w14:paraId="41D82625" w14:textId="77777777" w:rsidR="00756FC4" w:rsidRPr="00413AE6" w:rsidRDefault="00756FC4" w:rsidP="00756FC4">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413AE6">
        <w:rPr>
          <w:rStyle w:val="Strong"/>
          <w:rFonts w:ascii="Times New Roman" w:eastAsia="Times New Roman" w:hAnsi="Times New Roman" w:cs="Times New Roman"/>
          <w:sz w:val="28"/>
          <w:szCs w:val="28"/>
        </w:rPr>
        <w:t>Inherent exposure is high.</w:t>
      </w:r>
      <w:r w:rsidRPr="00413AE6">
        <w:rPr>
          <w:rFonts w:ascii="Times New Roman" w:eastAsia="Times New Roman" w:hAnsi="Times New Roman" w:cs="Times New Roman"/>
          <w:sz w:val="28"/>
          <w:szCs w:val="28"/>
        </w:rPr>
        <w:t xml:space="preserve"> 27 of 31 risks are High or Critical before controls (7 Critical), with an average score of 13.5.</w:t>
      </w:r>
    </w:p>
    <w:p w14:paraId="1C3C3EF9" w14:textId="77777777" w:rsidR="00756FC4" w:rsidRPr="00413AE6" w:rsidRDefault="00756FC4" w:rsidP="00756FC4">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413AE6">
        <w:rPr>
          <w:rStyle w:val="Strong"/>
          <w:rFonts w:ascii="Times New Roman" w:eastAsia="Times New Roman" w:hAnsi="Times New Roman" w:cs="Times New Roman"/>
          <w:sz w:val="28"/>
          <w:szCs w:val="28"/>
        </w:rPr>
        <w:t>Existing controls bring most risks inside appetite.</w:t>
      </w:r>
      <w:r w:rsidRPr="00413AE6">
        <w:rPr>
          <w:rFonts w:ascii="Times New Roman" w:eastAsia="Times New Roman" w:hAnsi="Times New Roman" w:cs="Times New Roman"/>
          <w:sz w:val="28"/>
          <w:szCs w:val="28"/>
        </w:rPr>
        <w:t xml:space="preserve"> The average residual score falls to 8.5. No risk remains Critical, but </w:t>
      </w:r>
      <w:r w:rsidRPr="00413AE6">
        <w:rPr>
          <w:rStyle w:val="Strong"/>
          <w:rFonts w:ascii="Times New Roman" w:eastAsia="Times New Roman" w:hAnsi="Times New Roman" w:cs="Times New Roman"/>
          <w:sz w:val="28"/>
          <w:szCs w:val="28"/>
        </w:rPr>
        <w:t>9 risks stay High and outside appetite</w:t>
      </w:r>
      <w:r w:rsidRPr="00413AE6">
        <w:rPr>
          <w:rFonts w:ascii="Times New Roman" w:eastAsia="Times New Roman" w:hAnsi="Times New Roman" w:cs="Times New Roman"/>
          <w:sz w:val="28"/>
          <w:szCs w:val="28"/>
        </w:rPr>
        <w:t>.</w:t>
      </w:r>
    </w:p>
    <w:p w14:paraId="4E488EA7" w14:textId="77777777" w:rsidR="00756FC4" w:rsidRPr="00413AE6" w:rsidRDefault="00756FC4" w:rsidP="00756FC4">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413AE6">
        <w:rPr>
          <w:rStyle w:val="Strong"/>
          <w:rFonts w:ascii="Times New Roman" w:eastAsia="Times New Roman" w:hAnsi="Times New Roman" w:cs="Times New Roman"/>
          <w:sz w:val="28"/>
          <w:szCs w:val="28"/>
        </w:rPr>
        <w:t>The nine outside appetite</w:t>
      </w:r>
      <w:r w:rsidRPr="00413AE6">
        <w:rPr>
          <w:rFonts w:ascii="Times New Roman" w:eastAsia="Times New Roman" w:hAnsi="Times New Roman" w:cs="Times New Roman"/>
          <w:sz w:val="28"/>
          <w:szCs w:val="28"/>
        </w:rPr>
        <w:t xml:space="preserve"> are ransomware (R01), credential compromise (R02), unsupported imaging workstations (R03), delayed test-result review (R12), failure to recognise a deteriorating patient (R16), missed safeguarding referrals (R18), clinical vacancies and burnout (R19), fire safety (R27) and patient access (R31).</w:t>
      </w:r>
    </w:p>
    <w:p w14:paraId="50957F59" w14:textId="77777777" w:rsidR="00756FC4" w:rsidRPr="00413AE6" w:rsidRDefault="00756FC4" w:rsidP="00756FC4">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413AE6">
        <w:rPr>
          <w:rStyle w:val="Strong"/>
          <w:rFonts w:ascii="Times New Roman" w:eastAsia="Times New Roman" w:hAnsi="Times New Roman" w:cs="Times New Roman"/>
          <w:sz w:val="28"/>
          <w:szCs w:val="28"/>
        </w:rPr>
        <w:t>Two kinds of exposure.</w:t>
      </w:r>
      <w:r w:rsidRPr="00413AE6">
        <w:rPr>
          <w:rFonts w:ascii="Times New Roman" w:eastAsia="Times New Roman" w:hAnsi="Times New Roman" w:cs="Times New Roman"/>
          <w:sz w:val="28"/>
          <w:szCs w:val="28"/>
        </w:rPr>
        <w:t xml:space="preserve"> Cyber and workforce risks are driven by likelihood and weak controls. The clinical safety, safeguarding and fire risks are driven by impact: likelihood is low but the harm is severe, so they cannot be accepted.</w:t>
      </w:r>
    </w:p>
    <w:p w14:paraId="12435BA4" w14:textId="532D7219" w:rsidR="00756FC4" w:rsidRPr="00413AE6" w:rsidRDefault="00756FC4" w:rsidP="00756FC4">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413AE6">
        <w:rPr>
          <w:rStyle w:val="Strong"/>
          <w:rFonts w:ascii="Times New Roman" w:eastAsia="Times New Roman" w:hAnsi="Times New Roman" w:cs="Times New Roman"/>
          <w:sz w:val="28"/>
          <w:szCs w:val="28"/>
        </w:rPr>
        <w:t>KRIs support the scoring.</w:t>
      </w:r>
      <w:r w:rsidRPr="00413AE6">
        <w:rPr>
          <w:rFonts w:ascii="Times New Roman" w:eastAsia="Times New Roman" w:hAnsi="Times New Roman" w:cs="Times New Roman"/>
          <w:sz w:val="28"/>
          <w:szCs w:val="28"/>
        </w:rPr>
        <w:t xml:space="preserve"> 21 of 22 indicators breach their thresholds, for example MFA coverage of 58%, a clinician vacancy rate of 17%, 17 </w:t>
      </w:r>
      <w:r w:rsidR="00253F80" w:rsidRPr="00413AE6">
        <w:rPr>
          <w:rFonts w:ascii="Times New Roman" w:eastAsia="Times New Roman" w:hAnsi="Times New Roman" w:cs="Times New Roman"/>
          <w:sz w:val="28"/>
          <w:szCs w:val="28"/>
        </w:rPr>
        <w:t>unreview</w:t>
      </w:r>
      <w:r w:rsidRPr="00413AE6">
        <w:rPr>
          <w:rFonts w:ascii="Times New Roman" w:eastAsia="Times New Roman" w:hAnsi="Times New Roman" w:cs="Times New Roman"/>
          <w:sz w:val="28"/>
          <w:szCs w:val="28"/>
        </w:rPr>
        <w:t xml:space="preserve"> test results per week and a DNA rate of 9.4%.</w:t>
      </w:r>
    </w:p>
    <w:p w14:paraId="3D1F620B" w14:textId="77777777" w:rsidR="00756FC4" w:rsidRPr="00413AE6" w:rsidRDefault="00756FC4" w:rsidP="00756FC4">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413AE6">
        <w:rPr>
          <w:rStyle w:val="Strong"/>
          <w:rFonts w:ascii="Times New Roman" w:eastAsia="Times New Roman" w:hAnsi="Times New Roman" w:cs="Times New Roman"/>
          <w:sz w:val="28"/>
          <w:szCs w:val="28"/>
        </w:rPr>
        <w:t>Treatment coverage is complete.</w:t>
      </w:r>
      <w:r w:rsidRPr="00413AE6">
        <w:rPr>
          <w:rFonts w:ascii="Times New Roman" w:eastAsia="Times New Roman" w:hAnsi="Times New Roman" w:cs="Times New Roman"/>
          <w:sz w:val="28"/>
          <w:szCs w:val="28"/>
        </w:rPr>
        <w:t xml:space="preserve"> Every outside-appetite risk has an action. The plan has an indicative first-year cost of about £323,600, with one action overdue (fire door remediation).</w:t>
      </w:r>
    </w:p>
    <w:p w14:paraId="78011410" w14:textId="77777777" w:rsidR="00756FC4" w:rsidRPr="00D80F01" w:rsidRDefault="00756FC4">
      <w:pPr>
        <w:pStyle w:val="Heading2"/>
        <w:rPr>
          <w:rFonts w:ascii="Times New Roman" w:eastAsia="Times New Roman" w:hAnsi="Times New Roman" w:cs="Times New Roman"/>
          <w:b/>
          <w:bCs/>
          <w:color w:val="A6399B"/>
          <w:sz w:val="28"/>
          <w:szCs w:val="28"/>
        </w:rPr>
      </w:pPr>
      <w:r w:rsidRPr="00D80F01">
        <w:rPr>
          <w:rFonts w:ascii="Times New Roman" w:eastAsia="Times New Roman" w:hAnsi="Times New Roman" w:cs="Times New Roman"/>
          <w:b/>
          <w:bCs/>
          <w:color w:val="A6399B"/>
          <w:sz w:val="28"/>
          <w:szCs w:val="28"/>
        </w:rPr>
        <w:t>4. Decisions required from the Risk Committee</w:t>
      </w:r>
    </w:p>
    <w:p w14:paraId="5C6BA25F" w14:textId="77777777" w:rsidR="00756FC4" w:rsidRPr="00413AE6" w:rsidRDefault="00756FC4" w:rsidP="00756FC4">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413AE6">
        <w:rPr>
          <w:rFonts w:ascii="Times New Roman" w:eastAsia="Times New Roman" w:hAnsi="Times New Roman" w:cs="Times New Roman"/>
          <w:sz w:val="28"/>
          <w:szCs w:val="28"/>
        </w:rPr>
        <w:t>Approve £38,000 to replace or isolate unsupported imaging workstations (R03), which has not started.</w:t>
      </w:r>
    </w:p>
    <w:p w14:paraId="2840FA65" w14:textId="77777777" w:rsidR="00756FC4" w:rsidRPr="00413AE6" w:rsidRDefault="00756FC4" w:rsidP="00756FC4">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413AE6">
        <w:rPr>
          <w:rFonts w:ascii="Times New Roman" w:eastAsia="Times New Roman" w:hAnsi="Times New Roman" w:cs="Times New Roman"/>
          <w:sz w:val="28"/>
          <w:szCs w:val="28"/>
        </w:rPr>
        <w:t>Approve the recruitment and retention programme of about £92,000 for GPs and an advanced nurse practitioner (R19).</w:t>
      </w:r>
    </w:p>
    <w:p w14:paraId="5FD2AD09" w14:textId="77777777" w:rsidR="00756FC4" w:rsidRPr="00413AE6" w:rsidRDefault="00756FC4" w:rsidP="00756FC4">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413AE6">
        <w:rPr>
          <w:rFonts w:ascii="Times New Roman" w:eastAsia="Times New Roman" w:hAnsi="Times New Roman" w:cs="Times New Roman"/>
          <w:sz w:val="28"/>
          <w:szCs w:val="28"/>
        </w:rPr>
        <w:t>Release contractor capacity to close the overdue fire door remediation (R27) and reinstate quarterly evacuation drills.</w:t>
      </w:r>
    </w:p>
    <w:p w14:paraId="304522E3" w14:textId="77777777" w:rsidR="00756FC4" w:rsidRPr="00413AE6" w:rsidRDefault="00756FC4" w:rsidP="00756FC4">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413AE6">
        <w:rPr>
          <w:rFonts w:ascii="Times New Roman" w:eastAsia="Times New Roman" w:hAnsi="Times New Roman" w:cs="Times New Roman"/>
          <w:sz w:val="28"/>
          <w:szCs w:val="28"/>
        </w:rPr>
        <w:t>Confirm renewal of cyber and business-interruption insurance (R01, risk transfer).</w:t>
      </w:r>
    </w:p>
    <w:p w14:paraId="67583887" w14:textId="77777777" w:rsidR="00756FC4" w:rsidRPr="00413AE6" w:rsidRDefault="00756FC4" w:rsidP="00756FC4">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413AE6">
        <w:rPr>
          <w:rFonts w:ascii="Times New Roman" w:eastAsia="Times New Roman" w:hAnsi="Times New Roman" w:cs="Times New Roman"/>
          <w:sz w:val="28"/>
          <w:szCs w:val="28"/>
        </w:rPr>
        <w:lastRenderedPageBreak/>
        <w:t>Appoint a Clinical Safety Officer by 27 November and keep the AI scribe paused until the DPIA, processing agreement and safety case are signed off (R07, R23).</w:t>
      </w:r>
    </w:p>
    <w:p w14:paraId="3E7D799F" w14:textId="77777777" w:rsidR="00756FC4" w:rsidRPr="000E5952" w:rsidRDefault="00756FC4">
      <w:pPr>
        <w:pStyle w:val="Heading2"/>
        <w:rPr>
          <w:rFonts w:ascii="Times New Roman" w:eastAsia="Times New Roman" w:hAnsi="Times New Roman" w:cs="Times New Roman"/>
          <w:b/>
          <w:bCs/>
          <w:color w:val="A6399B"/>
          <w:sz w:val="28"/>
          <w:szCs w:val="28"/>
        </w:rPr>
      </w:pPr>
      <w:r w:rsidRPr="000E5952">
        <w:rPr>
          <w:rFonts w:ascii="Times New Roman" w:eastAsia="Times New Roman" w:hAnsi="Times New Roman" w:cs="Times New Roman"/>
          <w:b/>
          <w:bCs/>
          <w:color w:val="A6399B"/>
          <w:sz w:val="28"/>
          <w:szCs w:val="28"/>
        </w:rPr>
        <w:t>5. What happens next</w:t>
      </w:r>
    </w:p>
    <w:p w14:paraId="6EAF95C9" w14:textId="77777777" w:rsidR="00756FC4" w:rsidRPr="00413AE6" w:rsidRDefault="00756FC4" w:rsidP="00756FC4">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413AE6">
        <w:rPr>
          <w:rFonts w:ascii="Times New Roman" w:eastAsia="Times New Roman" w:hAnsi="Times New Roman" w:cs="Times New Roman"/>
          <w:sz w:val="28"/>
          <w:szCs w:val="28"/>
        </w:rPr>
        <w:t>Re-score each outside-appetite risk when its action completes, and confirm that the target residual score is actually reached.</w:t>
      </w:r>
    </w:p>
    <w:p w14:paraId="611235BB" w14:textId="77777777" w:rsidR="00756FC4" w:rsidRPr="00413AE6" w:rsidRDefault="00756FC4" w:rsidP="00756FC4">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413AE6">
        <w:rPr>
          <w:rFonts w:ascii="Times New Roman" w:eastAsia="Times New Roman" w:hAnsi="Times New Roman" w:cs="Times New Roman"/>
          <w:sz w:val="28"/>
          <w:szCs w:val="28"/>
        </w:rPr>
        <w:t>Review High risks every 60 days and report overdue actions to the Committee monthly.</w:t>
      </w:r>
    </w:p>
    <w:p w14:paraId="12A42E90" w14:textId="77777777" w:rsidR="00756FC4" w:rsidRPr="00413AE6" w:rsidRDefault="00756FC4" w:rsidP="00756FC4">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413AE6">
        <w:rPr>
          <w:rFonts w:ascii="Times New Roman" w:eastAsia="Times New Roman" w:hAnsi="Times New Roman" w:cs="Times New Roman"/>
          <w:sz w:val="28"/>
          <w:szCs w:val="28"/>
        </w:rPr>
        <w:t>Test controls rather than relying on owner statements: restore tests, access-log reviews, fire drills and triage audits.</w:t>
      </w:r>
    </w:p>
    <w:p w14:paraId="3F9B05CE" w14:textId="77777777" w:rsidR="00756FC4" w:rsidRPr="00413AE6" w:rsidRDefault="00756FC4" w:rsidP="00756FC4">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413AE6">
        <w:rPr>
          <w:rFonts w:ascii="Times New Roman" w:eastAsia="Times New Roman" w:hAnsi="Times New Roman" w:cs="Times New Roman"/>
          <w:sz w:val="28"/>
          <w:szCs w:val="28"/>
        </w:rPr>
        <w:t>Replace simulated KRIs with live data, and recalibrate the appetite threshold by risk category (a lower threshold for patient safety than for finance).</w:t>
      </w:r>
    </w:p>
    <w:p w14:paraId="393A9238" w14:textId="77777777" w:rsidR="00756FC4" w:rsidRPr="00413AE6" w:rsidRDefault="00756FC4" w:rsidP="00756FC4">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413AE6">
        <w:rPr>
          <w:rFonts w:ascii="Times New Roman" w:eastAsia="Times New Roman" w:hAnsi="Times New Roman" w:cs="Times New Roman"/>
          <w:sz w:val="28"/>
          <w:szCs w:val="28"/>
        </w:rPr>
        <w:t>Run an annual full reassessment and a re-assessment whenever a major change occurs, such as a new clinical system.</w:t>
      </w:r>
    </w:p>
    <w:p w14:paraId="170834C7" w14:textId="77777777" w:rsidR="00756FC4" w:rsidRPr="00EC39CD" w:rsidRDefault="00756FC4">
      <w:pPr>
        <w:pStyle w:val="Heading2"/>
        <w:rPr>
          <w:rFonts w:ascii="Times New Roman" w:eastAsia="Times New Roman" w:hAnsi="Times New Roman" w:cs="Times New Roman"/>
          <w:b/>
          <w:bCs/>
          <w:color w:val="A6399B"/>
          <w:sz w:val="28"/>
          <w:szCs w:val="28"/>
        </w:rPr>
      </w:pPr>
      <w:r w:rsidRPr="00EC39CD">
        <w:rPr>
          <w:rFonts w:ascii="Times New Roman" w:eastAsia="Times New Roman" w:hAnsi="Times New Roman" w:cs="Times New Roman"/>
          <w:b/>
          <w:bCs/>
          <w:color w:val="A6399B"/>
          <w:sz w:val="28"/>
          <w:szCs w:val="28"/>
        </w:rPr>
        <w:t>6. Framework alignment</w:t>
      </w:r>
    </w:p>
    <w:p w14:paraId="30DD863E" w14:textId="77777777" w:rsidR="00756FC4" w:rsidRPr="00413AE6" w:rsidRDefault="00756FC4">
      <w:pPr>
        <w:pStyle w:val="NormalWeb"/>
        <w:rPr>
          <w:sz w:val="28"/>
          <w:szCs w:val="28"/>
        </w:rPr>
      </w:pPr>
      <w:r w:rsidRPr="00413AE6">
        <w:rPr>
          <w:sz w:val="28"/>
          <w:szCs w:val="28"/>
        </w:rPr>
        <w:t xml:space="preserve">The process follows </w:t>
      </w:r>
      <w:r w:rsidRPr="00413AE6">
        <w:rPr>
          <w:rStyle w:val="Strong"/>
          <w:sz w:val="28"/>
          <w:szCs w:val="28"/>
        </w:rPr>
        <w:t>ISO 31000</w:t>
      </w:r>
      <w:r w:rsidRPr="00413AE6">
        <w:rPr>
          <w:sz w:val="28"/>
          <w:szCs w:val="28"/>
        </w:rPr>
        <w:t xml:space="preserve"> (establish context, identify, analyse, evaluate, treat, monitor, communicate) and </w:t>
      </w:r>
      <w:r w:rsidRPr="00413AE6">
        <w:rPr>
          <w:rStyle w:val="Strong"/>
          <w:sz w:val="28"/>
          <w:szCs w:val="28"/>
        </w:rPr>
        <w:t>ISO/IEC 27005</w:t>
      </w:r>
      <w:r w:rsidRPr="00413AE6">
        <w:rPr>
          <w:sz w:val="28"/>
          <w:szCs w:val="28"/>
        </w:rPr>
        <w:t xml:space="preserve"> for information security risk. The four treatment options correspond to ISO 27005's modify, retain, avoid and share. In ISO 27001 terms, the register and treatment plan support clause 6.1.2 (risk assessment) and 6.1.3 (risk treatment and the Statement of Applicability). From a CISA perspective, the work draws mainly on Domain 2 (governance and management of IT), Domain 4 (operations and business resilience) and Domain 5 (protection of information assets), and the control-testing approach reflects Domain 1 (the audit process).</w:t>
      </w:r>
    </w:p>
    <w:tbl>
      <w:tblPr>
        <w:tblStyle w:val="ListTable4-Accent5"/>
        <w:tblW w:w="0" w:type="auto"/>
        <w:tblLook w:val="04A0" w:firstRow="1" w:lastRow="0" w:firstColumn="1" w:lastColumn="0" w:noHBand="0" w:noVBand="1"/>
      </w:tblPr>
      <w:tblGrid>
        <w:gridCol w:w="2435"/>
        <w:gridCol w:w="4323"/>
        <w:gridCol w:w="2592"/>
      </w:tblGrid>
      <w:tr w:rsidR="00756FC4" w:rsidRPr="00413AE6" w14:paraId="04859BC1" w14:textId="77777777" w:rsidTr="002406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3CB18" w14:textId="77777777" w:rsidR="00756FC4" w:rsidRPr="00413AE6" w:rsidRDefault="00756FC4">
            <w:pPr>
              <w:pStyle w:val="NormalWeb"/>
              <w:jc w:val="center"/>
              <w:rPr>
                <w:sz w:val="28"/>
                <w:szCs w:val="28"/>
              </w:rPr>
            </w:pPr>
            <w:r w:rsidRPr="00413AE6">
              <w:rPr>
                <w:b w:val="0"/>
                <w:bCs w:val="0"/>
                <w:sz w:val="28"/>
                <w:szCs w:val="28"/>
              </w:rPr>
              <w:t>Risk</w:t>
            </w:r>
          </w:p>
        </w:tc>
        <w:tc>
          <w:tcPr>
            <w:tcW w:w="0" w:type="auto"/>
            <w:hideMark/>
          </w:tcPr>
          <w:p w14:paraId="1E433801" w14:textId="77777777" w:rsidR="00756FC4" w:rsidRPr="00413AE6" w:rsidRDefault="00756FC4">
            <w:pPr>
              <w:pStyle w:val="NormalWeb"/>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413AE6">
              <w:rPr>
                <w:b w:val="0"/>
                <w:bCs w:val="0"/>
                <w:sz w:val="28"/>
                <w:szCs w:val="28"/>
              </w:rPr>
              <w:t>ISO 27001:2022 Annex A controls</w:t>
            </w:r>
          </w:p>
        </w:tc>
        <w:tc>
          <w:tcPr>
            <w:tcW w:w="0" w:type="auto"/>
            <w:hideMark/>
          </w:tcPr>
          <w:p w14:paraId="13C84181" w14:textId="77777777" w:rsidR="00756FC4" w:rsidRPr="00413AE6" w:rsidRDefault="00756FC4">
            <w:pPr>
              <w:pStyle w:val="NormalWeb"/>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413AE6">
              <w:rPr>
                <w:b w:val="0"/>
                <w:bCs w:val="0"/>
                <w:sz w:val="28"/>
                <w:szCs w:val="28"/>
              </w:rPr>
              <w:t>Treatment action</w:t>
            </w:r>
          </w:p>
        </w:tc>
      </w:tr>
      <w:tr w:rsidR="00756FC4" w:rsidRPr="00413AE6" w14:paraId="44EA9C7E" w14:textId="77777777" w:rsidTr="00240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4DCD6" w14:textId="77777777" w:rsidR="00756FC4" w:rsidRPr="00413AE6" w:rsidRDefault="00756FC4">
            <w:pPr>
              <w:pStyle w:val="NormalWeb"/>
              <w:rPr>
                <w:b w:val="0"/>
                <w:bCs w:val="0"/>
                <w:sz w:val="28"/>
                <w:szCs w:val="28"/>
              </w:rPr>
            </w:pPr>
            <w:r w:rsidRPr="00413AE6">
              <w:rPr>
                <w:sz w:val="28"/>
                <w:szCs w:val="28"/>
              </w:rPr>
              <w:t>R01 Ransomware</w:t>
            </w:r>
          </w:p>
        </w:tc>
        <w:tc>
          <w:tcPr>
            <w:tcW w:w="0" w:type="auto"/>
            <w:hideMark/>
          </w:tcPr>
          <w:p w14:paraId="7988A72D" w14:textId="77777777" w:rsidR="00756FC4" w:rsidRPr="00413AE6" w:rsidRDefault="00756FC4">
            <w:pPr>
              <w:pStyle w:val="NormalWeb"/>
              <w:cnfStyle w:val="000000100000" w:firstRow="0" w:lastRow="0" w:firstColumn="0" w:lastColumn="0" w:oddVBand="0" w:evenVBand="0" w:oddHBand="1" w:evenHBand="0" w:firstRowFirstColumn="0" w:firstRowLastColumn="0" w:lastRowFirstColumn="0" w:lastRowLastColumn="0"/>
              <w:rPr>
                <w:sz w:val="28"/>
                <w:szCs w:val="28"/>
              </w:rPr>
            </w:pPr>
            <w:r w:rsidRPr="00413AE6">
              <w:rPr>
                <w:sz w:val="28"/>
                <w:szCs w:val="28"/>
              </w:rPr>
              <w:t>A.8.13 Information backup; A.8.7 Protection against malware; A.5.30 ICT readiness for business continuity</w:t>
            </w:r>
          </w:p>
        </w:tc>
        <w:tc>
          <w:tcPr>
            <w:tcW w:w="0" w:type="auto"/>
            <w:hideMark/>
          </w:tcPr>
          <w:p w14:paraId="0A825459" w14:textId="77777777" w:rsidR="00756FC4" w:rsidRPr="00413AE6" w:rsidRDefault="00756FC4">
            <w:pPr>
              <w:pStyle w:val="NormalWeb"/>
              <w:cnfStyle w:val="000000100000" w:firstRow="0" w:lastRow="0" w:firstColumn="0" w:lastColumn="0" w:oddVBand="0" w:evenVBand="0" w:oddHBand="1" w:evenHBand="0" w:firstRowFirstColumn="0" w:firstRowLastColumn="0" w:lastRowFirstColumn="0" w:lastRowLastColumn="0"/>
              <w:rPr>
                <w:sz w:val="28"/>
                <w:szCs w:val="28"/>
              </w:rPr>
            </w:pPr>
            <w:r w:rsidRPr="00413AE6">
              <w:rPr>
                <w:sz w:val="28"/>
                <w:szCs w:val="28"/>
              </w:rPr>
              <w:t>Immutable backups and restore tests; insurance</w:t>
            </w:r>
          </w:p>
        </w:tc>
      </w:tr>
      <w:tr w:rsidR="00756FC4" w:rsidRPr="00413AE6" w14:paraId="5F6821E3" w14:textId="77777777" w:rsidTr="002406BE">
        <w:tc>
          <w:tcPr>
            <w:cnfStyle w:val="001000000000" w:firstRow="0" w:lastRow="0" w:firstColumn="1" w:lastColumn="0" w:oddVBand="0" w:evenVBand="0" w:oddHBand="0" w:evenHBand="0" w:firstRowFirstColumn="0" w:firstRowLastColumn="0" w:lastRowFirstColumn="0" w:lastRowLastColumn="0"/>
            <w:tcW w:w="0" w:type="auto"/>
            <w:hideMark/>
          </w:tcPr>
          <w:p w14:paraId="77827685" w14:textId="77777777" w:rsidR="00756FC4" w:rsidRPr="00413AE6" w:rsidRDefault="00756FC4">
            <w:pPr>
              <w:pStyle w:val="NormalWeb"/>
              <w:rPr>
                <w:sz w:val="28"/>
                <w:szCs w:val="28"/>
              </w:rPr>
            </w:pPr>
            <w:r w:rsidRPr="00413AE6">
              <w:rPr>
                <w:sz w:val="28"/>
                <w:szCs w:val="28"/>
              </w:rPr>
              <w:t>R02 Credential compromise</w:t>
            </w:r>
          </w:p>
        </w:tc>
        <w:tc>
          <w:tcPr>
            <w:tcW w:w="0" w:type="auto"/>
            <w:hideMark/>
          </w:tcPr>
          <w:p w14:paraId="6309C9F8" w14:textId="77777777" w:rsidR="00756FC4" w:rsidRPr="00413AE6" w:rsidRDefault="00756FC4">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413AE6">
              <w:rPr>
                <w:sz w:val="28"/>
                <w:szCs w:val="28"/>
              </w:rPr>
              <w:t>A.8.5 Secure authentication; A.6.3 Awareness and training</w:t>
            </w:r>
          </w:p>
        </w:tc>
        <w:tc>
          <w:tcPr>
            <w:tcW w:w="0" w:type="auto"/>
            <w:hideMark/>
          </w:tcPr>
          <w:p w14:paraId="09962077" w14:textId="77777777" w:rsidR="00756FC4" w:rsidRPr="00413AE6" w:rsidRDefault="00756FC4">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413AE6">
              <w:rPr>
                <w:sz w:val="28"/>
                <w:szCs w:val="28"/>
              </w:rPr>
              <w:t>MFA on all systems; phishing simulations</w:t>
            </w:r>
          </w:p>
        </w:tc>
      </w:tr>
      <w:tr w:rsidR="00756FC4" w:rsidRPr="00413AE6" w14:paraId="7AB1CEE3" w14:textId="77777777" w:rsidTr="00240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E8E532" w14:textId="77777777" w:rsidR="00756FC4" w:rsidRPr="00413AE6" w:rsidRDefault="00756FC4">
            <w:pPr>
              <w:pStyle w:val="NormalWeb"/>
              <w:rPr>
                <w:sz w:val="28"/>
                <w:szCs w:val="28"/>
              </w:rPr>
            </w:pPr>
            <w:r w:rsidRPr="00413AE6">
              <w:rPr>
                <w:sz w:val="28"/>
                <w:szCs w:val="28"/>
              </w:rPr>
              <w:t>R03 Legacy systems</w:t>
            </w:r>
          </w:p>
        </w:tc>
        <w:tc>
          <w:tcPr>
            <w:tcW w:w="0" w:type="auto"/>
            <w:hideMark/>
          </w:tcPr>
          <w:p w14:paraId="59AD7FEF" w14:textId="77777777" w:rsidR="00756FC4" w:rsidRPr="00413AE6" w:rsidRDefault="00756FC4">
            <w:pPr>
              <w:pStyle w:val="NormalWeb"/>
              <w:cnfStyle w:val="000000100000" w:firstRow="0" w:lastRow="0" w:firstColumn="0" w:lastColumn="0" w:oddVBand="0" w:evenVBand="0" w:oddHBand="1" w:evenHBand="0" w:firstRowFirstColumn="0" w:firstRowLastColumn="0" w:lastRowFirstColumn="0" w:lastRowLastColumn="0"/>
              <w:rPr>
                <w:sz w:val="28"/>
                <w:szCs w:val="28"/>
              </w:rPr>
            </w:pPr>
            <w:r w:rsidRPr="00413AE6">
              <w:rPr>
                <w:sz w:val="28"/>
                <w:szCs w:val="28"/>
              </w:rPr>
              <w:t>A.8.8 Technical vulnerabilities; A.8.22 Segregation of networks</w:t>
            </w:r>
          </w:p>
        </w:tc>
        <w:tc>
          <w:tcPr>
            <w:tcW w:w="0" w:type="auto"/>
            <w:hideMark/>
          </w:tcPr>
          <w:p w14:paraId="7011ECAE" w14:textId="77777777" w:rsidR="00756FC4" w:rsidRPr="00413AE6" w:rsidRDefault="00756FC4">
            <w:pPr>
              <w:pStyle w:val="NormalWeb"/>
              <w:cnfStyle w:val="000000100000" w:firstRow="0" w:lastRow="0" w:firstColumn="0" w:lastColumn="0" w:oddVBand="0" w:evenVBand="0" w:oddHBand="1" w:evenHBand="0" w:firstRowFirstColumn="0" w:firstRowLastColumn="0" w:lastRowFirstColumn="0" w:lastRowLastColumn="0"/>
              <w:rPr>
                <w:sz w:val="28"/>
                <w:szCs w:val="28"/>
              </w:rPr>
            </w:pPr>
            <w:r w:rsidRPr="00413AE6">
              <w:rPr>
                <w:sz w:val="28"/>
                <w:szCs w:val="28"/>
              </w:rPr>
              <w:t>Replace or isolate imaging workstations</w:t>
            </w:r>
          </w:p>
        </w:tc>
      </w:tr>
      <w:tr w:rsidR="00756FC4" w:rsidRPr="00413AE6" w14:paraId="2812D08C" w14:textId="77777777" w:rsidTr="002406BE">
        <w:tc>
          <w:tcPr>
            <w:cnfStyle w:val="001000000000" w:firstRow="0" w:lastRow="0" w:firstColumn="1" w:lastColumn="0" w:oddVBand="0" w:evenVBand="0" w:oddHBand="0" w:evenHBand="0" w:firstRowFirstColumn="0" w:firstRowLastColumn="0" w:lastRowFirstColumn="0" w:lastRowLastColumn="0"/>
            <w:tcW w:w="0" w:type="auto"/>
            <w:hideMark/>
          </w:tcPr>
          <w:p w14:paraId="125AC817" w14:textId="77777777" w:rsidR="00756FC4" w:rsidRPr="00413AE6" w:rsidRDefault="00756FC4">
            <w:pPr>
              <w:pStyle w:val="NormalWeb"/>
              <w:rPr>
                <w:sz w:val="28"/>
                <w:szCs w:val="28"/>
              </w:rPr>
            </w:pPr>
            <w:r w:rsidRPr="00413AE6">
              <w:rPr>
                <w:sz w:val="28"/>
                <w:szCs w:val="28"/>
              </w:rPr>
              <w:lastRenderedPageBreak/>
              <w:t>R04 Inappropriate record access</w:t>
            </w:r>
          </w:p>
        </w:tc>
        <w:tc>
          <w:tcPr>
            <w:tcW w:w="0" w:type="auto"/>
            <w:hideMark/>
          </w:tcPr>
          <w:p w14:paraId="3FBAC3F1" w14:textId="77777777" w:rsidR="00756FC4" w:rsidRPr="00413AE6" w:rsidRDefault="00756FC4">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413AE6">
              <w:rPr>
                <w:sz w:val="28"/>
                <w:szCs w:val="28"/>
              </w:rPr>
              <w:t>A.5.15 Access control; A.8.15 Logging; A.8.16 Monitoring activities</w:t>
            </w:r>
          </w:p>
        </w:tc>
        <w:tc>
          <w:tcPr>
            <w:tcW w:w="0" w:type="auto"/>
            <w:hideMark/>
          </w:tcPr>
          <w:p w14:paraId="7AFBC71E" w14:textId="77777777" w:rsidR="00756FC4" w:rsidRPr="00413AE6" w:rsidRDefault="00756FC4">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413AE6">
              <w:rPr>
                <w:sz w:val="28"/>
                <w:szCs w:val="28"/>
              </w:rPr>
              <w:t>Monthly audit-log review and alerts</w:t>
            </w:r>
          </w:p>
        </w:tc>
      </w:tr>
      <w:tr w:rsidR="00756FC4" w:rsidRPr="00413AE6" w14:paraId="64906DDC" w14:textId="77777777" w:rsidTr="00240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74E11" w14:textId="77777777" w:rsidR="00756FC4" w:rsidRPr="00413AE6" w:rsidRDefault="00756FC4">
            <w:pPr>
              <w:pStyle w:val="NormalWeb"/>
              <w:rPr>
                <w:sz w:val="28"/>
                <w:szCs w:val="28"/>
              </w:rPr>
            </w:pPr>
            <w:r w:rsidRPr="00413AE6">
              <w:rPr>
                <w:sz w:val="28"/>
                <w:szCs w:val="28"/>
              </w:rPr>
              <w:t>R05 Misdirected data</w:t>
            </w:r>
          </w:p>
        </w:tc>
        <w:tc>
          <w:tcPr>
            <w:tcW w:w="0" w:type="auto"/>
            <w:hideMark/>
          </w:tcPr>
          <w:p w14:paraId="02DADFC2" w14:textId="77777777" w:rsidR="00756FC4" w:rsidRPr="00413AE6" w:rsidRDefault="00756FC4">
            <w:pPr>
              <w:pStyle w:val="NormalWeb"/>
              <w:cnfStyle w:val="000000100000" w:firstRow="0" w:lastRow="0" w:firstColumn="0" w:lastColumn="0" w:oddVBand="0" w:evenVBand="0" w:oddHBand="1" w:evenHBand="0" w:firstRowFirstColumn="0" w:firstRowLastColumn="0" w:lastRowFirstColumn="0" w:lastRowLastColumn="0"/>
              <w:rPr>
                <w:sz w:val="28"/>
                <w:szCs w:val="28"/>
              </w:rPr>
            </w:pPr>
            <w:r w:rsidRPr="00413AE6">
              <w:rPr>
                <w:sz w:val="28"/>
                <w:szCs w:val="28"/>
              </w:rPr>
              <w:t>A.5.14 Information transfer; A.8.12 Data leakage prevention</w:t>
            </w:r>
          </w:p>
        </w:tc>
        <w:tc>
          <w:tcPr>
            <w:tcW w:w="0" w:type="auto"/>
            <w:hideMark/>
          </w:tcPr>
          <w:p w14:paraId="21C6D970" w14:textId="77777777" w:rsidR="00756FC4" w:rsidRPr="00413AE6" w:rsidRDefault="00756FC4">
            <w:pPr>
              <w:pStyle w:val="NormalWeb"/>
              <w:cnfStyle w:val="000000100000" w:firstRow="0" w:lastRow="0" w:firstColumn="0" w:lastColumn="0" w:oddVBand="0" w:evenVBand="0" w:oddHBand="1" w:evenHBand="0" w:firstRowFirstColumn="0" w:firstRowLastColumn="0" w:lastRowFirstColumn="0" w:lastRowLastColumn="0"/>
              <w:rPr>
                <w:sz w:val="28"/>
                <w:szCs w:val="28"/>
              </w:rPr>
            </w:pPr>
            <w:r w:rsidRPr="00413AE6">
              <w:rPr>
                <w:sz w:val="28"/>
                <w:szCs w:val="28"/>
              </w:rPr>
              <w:t>Recipient verification and DLP</w:t>
            </w:r>
          </w:p>
        </w:tc>
      </w:tr>
      <w:tr w:rsidR="00756FC4" w:rsidRPr="00413AE6" w14:paraId="5434DC90" w14:textId="77777777" w:rsidTr="002406BE">
        <w:tc>
          <w:tcPr>
            <w:cnfStyle w:val="001000000000" w:firstRow="0" w:lastRow="0" w:firstColumn="1" w:lastColumn="0" w:oddVBand="0" w:evenVBand="0" w:oddHBand="0" w:evenHBand="0" w:firstRowFirstColumn="0" w:firstRowLastColumn="0" w:lastRowFirstColumn="0" w:lastRowLastColumn="0"/>
            <w:tcW w:w="0" w:type="auto"/>
            <w:hideMark/>
          </w:tcPr>
          <w:p w14:paraId="13D38F67" w14:textId="77777777" w:rsidR="00756FC4" w:rsidRPr="00413AE6" w:rsidRDefault="00756FC4">
            <w:pPr>
              <w:pStyle w:val="NormalWeb"/>
              <w:rPr>
                <w:sz w:val="28"/>
                <w:szCs w:val="28"/>
              </w:rPr>
            </w:pPr>
            <w:r w:rsidRPr="00413AE6">
              <w:rPr>
                <w:sz w:val="28"/>
                <w:szCs w:val="28"/>
              </w:rPr>
              <w:t>R07 AI scribe and processors</w:t>
            </w:r>
          </w:p>
        </w:tc>
        <w:tc>
          <w:tcPr>
            <w:tcW w:w="0" w:type="auto"/>
            <w:hideMark/>
          </w:tcPr>
          <w:p w14:paraId="36312D46" w14:textId="77777777" w:rsidR="00756FC4" w:rsidRPr="00413AE6" w:rsidRDefault="00756FC4">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413AE6">
              <w:rPr>
                <w:sz w:val="28"/>
                <w:szCs w:val="28"/>
              </w:rPr>
              <w:t>A.5.19–5.22 Supplier relationships; A.5.34 Privacy and PII protection</w:t>
            </w:r>
          </w:p>
        </w:tc>
        <w:tc>
          <w:tcPr>
            <w:tcW w:w="0" w:type="auto"/>
            <w:hideMark/>
          </w:tcPr>
          <w:p w14:paraId="17A29B84" w14:textId="77777777" w:rsidR="00756FC4" w:rsidRPr="00413AE6" w:rsidRDefault="00756FC4">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413AE6">
              <w:rPr>
                <w:sz w:val="28"/>
                <w:szCs w:val="28"/>
              </w:rPr>
              <w:t>Avoid go-live until DPIA and DPA are complete</w:t>
            </w:r>
          </w:p>
        </w:tc>
      </w:tr>
      <w:tr w:rsidR="00756FC4" w:rsidRPr="00413AE6" w14:paraId="35AB6BCD" w14:textId="77777777" w:rsidTr="00240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E5057" w14:textId="77777777" w:rsidR="00756FC4" w:rsidRPr="00413AE6" w:rsidRDefault="00756FC4">
            <w:pPr>
              <w:pStyle w:val="NormalWeb"/>
              <w:rPr>
                <w:sz w:val="28"/>
                <w:szCs w:val="28"/>
              </w:rPr>
            </w:pPr>
            <w:r w:rsidRPr="00413AE6">
              <w:rPr>
                <w:sz w:val="28"/>
                <w:szCs w:val="28"/>
              </w:rPr>
              <w:t>R08 Lost devices</w:t>
            </w:r>
          </w:p>
        </w:tc>
        <w:tc>
          <w:tcPr>
            <w:tcW w:w="0" w:type="auto"/>
            <w:hideMark/>
          </w:tcPr>
          <w:p w14:paraId="595CCCC8" w14:textId="77777777" w:rsidR="00756FC4" w:rsidRPr="00413AE6" w:rsidRDefault="00756FC4">
            <w:pPr>
              <w:pStyle w:val="NormalWeb"/>
              <w:cnfStyle w:val="000000100000" w:firstRow="0" w:lastRow="0" w:firstColumn="0" w:lastColumn="0" w:oddVBand="0" w:evenVBand="0" w:oddHBand="1" w:evenHBand="0" w:firstRowFirstColumn="0" w:firstRowLastColumn="0" w:lastRowFirstColumn="0" w:lastRowLastColumn="0"/>
              <w:rPr>
                <w:sz w:val="28"/>
                <w:szCs w:val="28"/>
              </w:rPr>
            </w:pPr>
            <w:r w:rsidRPr="00413AE6">
              <w:rPr>
                <w:sz w:val="28"/>
                <w:szCs w:val="28"/>
              </w:rPr>
              <w:t>A.8.1 User endpoint devices; A.8.24 Use of cryptography</w:t>
            </w:r>
          </w:p>
        </w:tc>
        <w:tc>
          <w:tcPr>
            <w:tcW w:w="0" w:type="auto"/>
            <w:hideMark/>
          </w:tcPr>
          <w:p w14:paraId="5828F0D1" w14:textId="77777777" w:rsidR="00756FC4" w:rsidRPr="00413AE6" w:rsidRDefault="00756FC4">
            <w:pPr>
              <w:pStyle w:val="NormalWeb"/>
              <w:cnfStyle w:val="000000100000" w:firstRow="0" w:lastRow="0" w:firstColumn="0" w:lastColumn="0" w:oddVBand="0" w:evenVBand="0" w:oddHBand="1" w:evenHBand="0" w:firstRowFirstColumn="0" w:firstRowLastColumn="0" w:lastRowFirstColumn="0" w:lastRowLastColumn="0"/>
              <w:rPr>
                <w:sz w:val="28"/>
                <w:szCs w:val="28"/>
              </w:rPr>
            </w:pPr>
            <w:r w:rsidRPr="00413AE6">
              <w:rPr>
                <w:sz w:val="28"/>
                <w:szCs w:val="28"/>
              </w:rPr>
              <w:t>Complete device encryption</w:t>
            </w:r>
          </w:p>
        </w:tc>
      </w:tr>
      <w:tr w:rsidR="00756FC4" w:rsidRPr="00413AE6" w14:paraId="281A1EAE" w14:textId="77777777" w:rsidTr="002406BE">
        <w:tc>
          <w:tcPr>
            <w:cnfStyle w:val="001000000000" w:firstRow="0" w:lastRow="0" w:firstColumn="1" w:lastColumn="0" w:oddVBand="0" w:evenVBand="0" w:oddHBand="0" w:evenHBand="0" w:firstRowFirstColumn="0" w:firstRowLastColumn="0" w:lastRowFirstColumn="0" w:lastRowLastColumn="0"/>
            <w:tcW w:w="0" w:type="auto"/>
            <w:hideMark/>
          </w:tcPr>
          <w:p w14:paraId="0C536434" w14:textId="77777777" w:rsidR="00756FC4" w:rsidRPr="00413AE6" w:rsidRDefault="00756FC4">
            <w:pPr>
              <w:pStyle w:val="NormalWeb"/>
              <w:rPr>
                <w:sz w:val="28"/>
                <w:szCs w:val="28"/>
              </w:rPr>
            </w:pPr>
            <w:r w:rsidRPr="00413AE6">
              <w:rPr>
                <w:sz w:val="28"/>
                <w:szCs w:val="28"/>
              </w:rPr>
              <w:t>R09 and R10 Outages and power</w:t>
            </w:r>
          </w:p>
        </w:tc>
        <w:tc>
          <w:tcPr>
            <w:tcW w:w="0" w:type="auto"/>
            <w:hideMark/>
          </w:tcPr>
          <w:p w14:paraId="7637D25D" w14:textId="77777777" w:rsidR="00756FC4" w:rsidRPr="00413AE6" w:rsidRDefault="00756FC4">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413AE6">
              <w:rPr>
                <w:sz w:val="28"/>
                <w:szCs w:val="28"/>
              </w:rPr>
              <w:t>A.5.29 and A.5.30 Continuity; A.8.14 Redundancy; A.7.11 Supporting utilities</w:t>
            </w:r>
          </w:p>
        </w:tc>
        <w:tc>
          <w:tcPr>
            <w:tcW w:w="0" w:type="auto"/>
            <w:hideMark/>
          </w:tcPr>
          <w:p w14:paraId="568E31D2" w14:textId="77777777" w:rsidR="00756FC4" w:rsidRPr="00413AE6" w:rsidRDefault="00756FC4">
            <w:pPr>
              <w:pStyle w:val="NormalWeb"/>
              <w:cnfStyle w:val="000000000000" w:firstRow="0" w:lastRow="0" w:firstColumn="0" w:lastColumn="0" w:oddVBand="0" w:evenVBand="0" w:oddHBand="0" w:evenHBand="0" w:firstRowFirstColumn="0" w:firstRowLastColumn="0" w:lastRowFirstColumn="0" w:lastRowLastColumn="0"/>
              <w:rPr>
                <w:sz w:val="28"/>
                <w:szCs w:val="28"/>
              </w:rPr>
            </w:pPr>
            <w:r w:rsidRPr="00413AE6">
              <w:rPr>
                <w:sz w:val="28"/>
                <w:szCs w:val="28"/>
              </w:rPr>
              <w:t>Failover; extended UPS and generator point</w:t>
            </w:r>
          </w:p>
        </w:tc>
      </w:tr>
      <w:tr w:rsidR="00756FC4" w:rsidRPr="00413AE6" w14:paraId="4508F36D" w14:textId="77777777" w:rsidTr="00240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7C771" w14:textId="77777777" w:rsidR="00756FC4" w:rsidRPr="00413AE6" w:rsidRDefault="00756FC4">
            <w:pPr>
              <w:pStyle w:val="NormalWeb"/>
              <w:rPr>
                <w:sz w:val="28"/>
                <w:szCs w:val="28"/>
              </w:rPr>
            </w:pPr>
            <w:r w:rsidRPr="00413AE6">
              <w:rPr>
                <w:sz w:val="28"/>
                <w:szCs w:val="28"/>
              </w:rPr>
              <w:t>R26 Supplier failure</w:t>
            </w:r>
          </w:p>
        </w:tc>
        <w:tc>
          <w:tcPr>
            <w:tcW w:w="0" w:type="auto"/>
            <w:hideMark/>
          </w:tcPr>
          <w:p w14:paraId="644ADF70" w14:textId="77777777" w:rsidR="00756FC4" w:rsidRPr="00413AE6" w:rsidRDefault="00756FC4">
            <w:pPr>
              <w:pStyle w:val="NormalWeb"/>
              <w:cnfStyle w:val="000000100000" w:firstRow="0" w:lastRow="0" w:firstColumn="0" w:lastColumn="0" w:oddVBand="0" w:evenVBand="0" w:oddHBand="1" w:evenHBand="0" w:firstRowFirstColumn="0" w:firstRowLastColumn="0" w:lastRowFirstColumn="0" w:lastRowLastColumn="0"/>
              <w:rPr>
                <w:sz w:val="28"/>
                <w:szCs w:val="28"/>
              </w:rPr>
            </w:pPr>
            <w:r w:rsidRPr="00413AE6">
              <w:rPr>
                <w:sz w:val="28"/>
                <w:szCs w:val="28"/>
              </w:rPr>
              <w:t>A.5.19–5.23 Supplier and cloud services</w:t>
            </w:r>
          </w:p>
        </w:tc>
        <w:tc>
          <w:tcPr>
            <w:tcW w:w="0" w:type="auto"/>
            <w:hideMark/>
          </w:tcPr>
          <w:p w14:paraId="276ABE08" w14:textId="77777777" w:rsidR="00756FC4" w:rsidRPr="00413AE6" w:rsidRDefault="00756FC4">
            <w:pPr>
              <w:pStyle w:val="NormalWeb"/>
              <w:cnfStyle w:val="000000100000" w:firstRow="0" w:lastRow="0" w:firstColumn="0" w:lastColumn="0" w:oddVBand="0" w:evenVBand="0" w:oddHBand="1" w:evenHBand="0" w:firstRowFirstColumn="0" w:firstRowLastColumn="0" w:lastRowFirstColumn="0" w:lastRowLastColumn="0"/>
              <w:rPr>
                <w:sz w:val="28"/>
                <w:szCs w:val="28"/>
              </w:rPr>
            </w:pPr>
            <w:r w:rsidRPr="00413AE6">
              <w:rPr>
                <w:sz w:val="28"/>
                <w:szCs w:val="28"/>
              </w:rPr>
              <w:t>Secondary supplier and exit plan</w:t>
            </w:r>
          </w:p>
        </w:tc>
      </w:tr>
      <w:tr w:rsidR="006A38C2" w:rsidRPr="00413AE6" w14:paraId="6B6770D3" w14:textId="77777777" w:rsidTr="002406BE">
        <w:tc>
          <w:tcPr>
            <w:cnfStyle w:val="001000000000" w:firstRow="0" w:lastRow="0" w:firstColumn="1" w:lastColumn="0" w:oddVBand="0" w:evenVBand="0" w:oddHBand="0" w:evenHBand="0" w:firstRowFirstColumn="0" w:firstRowLastColumn="0" w:lastRowFirstColumn="0" w:lastRowLastColumn="0"/>
            <w:tcW w:w="0" w:type="auto"/>
          </w:tcPr>
          <w:p w14:paraId="3796831D" w14:textId="77777777" w:rsidR="006A38C2" w:rsidRPr="00413AE6" w:rsidRDefault="006A38C2">
            <w:pPr>
              <w:pStyle w:val="NormalWeb"/>
              <w:rPr>
                <w:sz w:val="28"/>
                <w:szCs w:val="28"/>
              </w:rPr>
            </w:pPr>
          </w:p>
        </w:tc>
        <w:tc>
          <w:tcPr>
            <w:tcW w:w="0" w:type="auto"/>
          </w:tcPr>
          <w:p w14:paraId="2430C58E" w14:textId="77777777" w:rsidR="006A38C2" w:rsidRPr="00413AE6" w:rsidRDefault="006A38C2">
            <w:pPr>
              <w:pStyle w:val="NormalWeb"/>
              <w:cnfStyle w:val="000000000000" w:firstRow="0" w:lastRow="0" w:firstColumn="0" w:lastColumn="0" w:oddVBand="0" w:evenVBand="0" w:oddHBand="0" w:evenHBand="0" w:firstRowFirstColumn="0" w:firstRowLastColumn="0" w:lastRowFirstColumn="0" w:lastRowLastColumn="0"/>
              <w:rPr>
                <w:sz w:val="28"/>
                <w:szCs w:val="28"/>
              </w:rPr>
            </w:pPr>
          </w:p>
        </w:tc>
        <w:tc>
          <w:tcPr>
            <w:tcW w:w="0" w:type="auto"/>
          </w:tcPr>
          <w:p w14:paraId="7E17A024" w14:textId="77777777" w:rsidR="006A38C2" w:rsidRPr="00413AE6" w:rsidRDefault="006A38C2">
            <w:pPr>
              <w:pStyle w:val="NormalWeb"/>
              <w:cnfStyle w:val="000000000000" w:firstRow="0" w:lastRow="0" w:firstColumn="0" w:lastColumn="0" w:oddVBand="0" w:evenVBand="0" w:oddHBand="0" w:evenHBand="0" w:firstRowFirstColumn="0" w:firstRowLastColumn="0" w:lastRowFirstColumn="0" w:lastRowLastColumn="0"/>
              <w:rPr>
                <w:sz w:val="28"/>
                <w:szCs w:val="28"/>
              </w:rPr>
            </w:pPr>
          </w:p>
        </w:tc>
      </w:tr>
    </w:tbl>
    <w:p w14:paraId="036F711F" w14:textId="77777777" w:rsidR="00756FC4" w:rsidRPr="006A38C2" w:rsidRDefault="00756FC4">
      <w:pPr>
        <w:pStyle w:val="Heading2"/>
        <w:rPr>
          <w:rFonts w:ascii="Times New Roman" w:eastAsia="Times New Roman" w:hAnsi="Times New Roman" w:cs="Times New Roman"/>
          <w:b/>
          <w:bCs/>
          <w:color w:val="A6399B"/>
          <w:sz w:val="28"/>
          <w:szCs w:val="28"/>
        </w:rPr>
      </w:pPr>
      <w:r w:rsidRPr="006A38C2">
        <w:rPr>
          <w:rFonts w:ascii="Times New Roman" w:eastAsia="Times New Roman" w:hAnsi="Times New Roman" w:cs="Times New Roman"/>
          <w:b/>
          <w:bCs/>
          <w:color w:val="A6399B"/>
          <w:sz w:val="28"/>
          <w:szCs w:val="28"/>
        </w:rPr>
        <w:t>7. Assessing the hosted EPR supplier (cloud security angle)</w:t>
      </w:r>
    </w:p>
    <w:p w14:paraId="6553618A" w14:textId="77777777" w:rsidR="00756FC4" w:rsidRPr="00413AE6" w:rsidRDefault="00756FC4">
      <w:pPr>
        <w:pStyle w:val="NormalWeb"/>
        <w:rPr>
          <w:sz w:val="28"/>
          <w:szCs w:val="28"/>
        </w:rPr>
      </w:pPr>
      <w:r w:rsidRPr="00413AE6">
        <w:rPr>
          <w:sz w:val="28"/>
          <w:szCs w:val="28"/>
        </w:rPr>
        <w:t>The electronic patient record is supplier-hosted, so the centre's real exposure depends on the supplier's controls. With a cloud security background, I would assess it as follows:</w:t>
      </w:r>
    </w:p>
    <w:p w14:paraId="4AD1DC93" w14:textId="77777777" w:rsidR="00756FC4" w:rsidRPr="00413AE6" w:rsidRDefault="00756FC4" w:rsidP="00756FC4">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413AE6">
        <w:rPr>
          <w:rStyle w:val="Strong"/>
          <w:rFonts w:ascii="Times New Roman" w:eastAsia="Times New Roman" w:hAnsi="Times New Roman" w:cs="Times New Roman"/>
          <w:sz w:val="28"/>
          <w:szCs w:val="28"/>
        </w:rPr>
        <w:t>Shared responsibility.</w:t>
      </w:r>
      <w:r w:rsidRPr="00413AE6">
        <w:rPr>
          <w:rFonts w:ascii="Times New Roman" w:eastAsia="Times New Roman" w:hAnsi="Times New Roman" w:cs="Times New Roman"/>
          <w:sz w:val="28"/>
          <w:szCs w:val="28"/>
        </w:rPr>
        <w:t xml:space="preserve"> Confirm in writing which controls the supplier operates (infrastructure, patching, backups, encryption) and which stay with the centre (user access, MFA, configuration, </w:t>
      </w:r>
      <w:proofErr w:type="spellStart"/>
      <w:r w:rsidRPr="00413AE6">
        <w:rPr>
          <w:rFonts w:ascii="Times New Roman" w:eastAsia="Times New Roman" w:hAnsi="Times New Roman" w:cs="Times New Roman"/>
          <w:sz w:val="28"/>
          <w:szCs w:val="28"/>
        </w:rPr>
        <w:t>offboarding</w:t>
      </w:r>
      <w:proofErr w:type="spellEnd"/>
      <w:r w:rsidRPr="00413AE6">
        <w:rPr>
          <w:rFonts w:ascii="Times New Roman" w:eastAsia="Times New Roman" w:hAnsi="Times New Roman" w:cs="Times New Roman"/>
          <w:sz w:val="28"/>
          <w:szCs w:val="28"/>
        </w:rPr>
        <w:t>).</w:t>
      </w:r>
    </w:p>
    <w:p w14:paraId="7007CD63" w14:textId="77777777" w:rsidR="00756FC4" w:rsidRPr="00413AE6" w:rsidRDefault="00756FC4" w:rsidP="00756FC4">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413AE6">
        <w:rPr>
          <w:rStyle w:val="Strong"/>
          <w:rFonts w:ascii="Times New Roman" w:eastAsia="Times New Roman" w:hAnsi="Times New Roman" w:cs="Times New Roman"/>
          <w:sz w:val="28"/>
          <w:szCs w:val="28"/>
        </w:rPr>
        <w:t>Assurance evidence.</w:t>
      </w:r>
      <w:r w:rsidRPr="00413AE6">
        <w:rPr>
          <w:rFonts w:ascii="Times New Roman" w:eastAsia="Times New Roman" w:hAnsi="Times New Roman" w:cs="Times New Roman"/>
          <w:sz w:val="28"/>
          <w:szCs w:val="28"/>
        </w:rPr>
        <w:t xml:space="preserve"> Request ISO 27001 certificate and scope, SOC 2 Type II report, DSPT status, DTAC evidence, penetration test summaries and a CAIQ or equivalent questionnaire, and check that the certified scope actually covers the EPR service.</w:t>
      </w:r>
    </w:p>
    <w:p w14:paraId="765F54EF" w14:textId="77777777" w:rsidR="00756FC4" w:rsidRPr="00413AE6" w:rsidRDefault="00756FC4" w:rsidP="00756FC4">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413AE6">
        <w:rPr>
          <w:rStyle w:val="Strong"/>
          <w:rFonts w:ascii="Times New Roman" w:eastAsia="Times New Roman" w:hAnsi="Times New Roman" w:cs="Times New Roman"/>
          <w:sz w:val="28"/>
          <w:szCs w:val="28"/>
        </w:rPr>
        <w:t>NCSC Cloud Security Principles.</w:t>
      </w:r>
      <w:r w:rsidRPr="00413AE6">
        <w:rPr>
          <w:rFonts w:ascii="Times New Roman" w:eastAsia="Times New Roman" w:hAnsi="Times New Roman" w:cs="Times New Roman"/>
          <w:sz w:val="28"/>
          <w:szCs w:val="28"/>
        </w:rPr>
        <w:t xml:space="preserve"> Assess against the 14 principles, in particular data in transit and at rest protection, separation between customers, identity and access, audit information and secure service administration.</w:t>
      </w:r>
    </w:p>
    <w:p w14:paraId="424A4C56" w14:textId="77777777" w:rsidR="00756FC4" w:rsidRPr="00413AE6" w:rsidRDefault="00756FC4" w:rsidP="00756FC4">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413AE6">
        <w:rPr>
          <w:rStyle w:val="Strong"/>
          <w:rFonts w:ascii="Times New Roman" w:eastAsia="Times New Roman" w:hAnsi="Times New Roman" w:cs="Times New Roman"/>
          <w:sz w:val="28"/>
          <w:szCs w:val="28"/>
        </w:rPr>
        <w:t>Resilience.</w:t>
      </w:r>
      <w:r w:rsidRPr="00413AE6">
        <w:rPr>
          <w:rFonts w:ascii="Times New Roman" w:eastAsia="Times New Roman" w:hAnsi="Times New Roman" w:cs="Times New Roman"/>
          <w:sz w:val="28"/>
          <w:szCs w:val="28"/>
        </w:rPr>
        <w:t xml:space="preserve"> Compare the contractual 99.5% availability with the centre's needs, and confirm RTO, RPO, backup location and a tested failover.</w:t>
      </w:r>
    </w:p>
    <w:p w14:paraId="375F4E4B" w14:textId="77777777" w:rsidR="00756FC4" w:rsidRPr="00413AE6" w:rsidRDefault="00756FC4" w:rsidP="00756FC4">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413AE6">
        <w:rPr>
          <w:rStyle w:val="Strong"/>
          <w:rFonts w:ascii="Times New Roman" w:eastAsia="Times New Roman" w:hAnsi="Times New Roman" w:cs="Times New Roman"/>
          <w:sz w:val="28"/>
          <w:szCs w:val="28"/>
        </w:rPr>
        <w:t>Data governance.</w:t>
      </w:r>
      <w:r w:rsidRPr="00413AE6">
        <w:rPr>
          <w:rFonts w:ascii="Times New Roman" w:eastAsia="Times New Roman" w:hAnsi="Times New Roman" w:cs="Times New Roman"/>
          <w:sz w:val="28"/>
          <w:szCs w:val="28"/>
        </w:rPr>
        <w:t xml:space="preserve"> Confirm UK data residency, sub-processors, key management and breach notification timescales, and the exit plan (data return format and timescale).</w:t>
      </w:r>
    </w:p>
    <w:p w14:paraId="5E4B5EEC" w14:textId="77777777" w:rsidR="00756FC4" w:rsidRPr="00413AE6" w:rsidRDefault="00756FC4">
      <w:pPr>
        <w:pStyle w:val="NormalWeb"/>
        <w:rPr>
          <w:sz w:val="28"/>
          <w:szCs w:val="28"/>
        </w:rPr>
      </w:pPr>
      <w:r w:rsidRPr="00413AE6">
        <w:rPr>
          <w:sz w:val="28"/>
          <w:szCs w:val="28"/>
        </w:rPr>
        <w:lastRenderedPageBreak/>
        <w:t>This would turn R09 (EPR outage) and R26 (supplier failure) from judgement-based scores into evidence-based ones.</w:t>
      </w:r>
    </w:p>
    <w:p w14:paraId="0C856F1C" w14:textId="77777777" w:rsidR="00756FC4" w:rsidRPr="00413AE6" w:rsidRDefault="00756FC4">
      <w:pPr>
        <w:pStyle w:val="Heading2"/>
        <w:rPr>
          <w:rFonts w:ascii="Times New Roman" w:eastAsia="Times New Roman" w:hAnsi="Times New Roman" w:cs="Times New Roman"/>
          <w:sz w:val="28"/>
          <w:szCs w:val="28"/>
        </w:rPr>
      </w:pPr>
      <w:r w:rsidRPr="00413AE6">
        <w:rPr>
          <w:rFonts w:ascii="Times New Roman" w:eastAsia="Times New Roman" w:hAnsi="Times New Roman" w:cs="Times New Roman"/>
          <w:sz w:val="28"/>
          <w:szCs w:val="28"/>
        </w:rPr>
        <w:t>Limitations</w:t>
      </w:r>
    </w:p>
    <w:p w14:paraId="760443CF" w14:textId="182B3319" w:rsidR="00756FC4" w:rsidRPr="00413AE6" w:rsidRDefault="00756FC4">
      <w:pPr>
        <w:pStyle w:val="NormalWeb"/>
        <w:rPr>
          <w:sz w:val="28"/>
          <w:szCs w:val="28"/>
        </w:rPr>
      </w:pPr>
      <w:r w:rsidRPr="00413AE6">
        <w:rPr>
          <w:sz w:val="28"/>
          <w:szCs w:val="28"/>
        </w:rPr>
        <w:t xml:space="preserve">All data is simulated. Scores are </w:t>
      </w:r>
      <w:r w:rsidR="00B73194">
        <w:rPr>
          <w:sz w:val="28"/>
          <w:szCs w:val="28"/>
        </w:rPr>
        <w:t>my</w:t>
      </w:r>
      <w:r w:rsidRPr="00413AE6">
        <w:rPr>
          <w:sz w:val="28"/>
          <w:szCs w:val="28"/>
        </w:rPr>
        <w:t xml:space="preserve"> judgements that would be validated with risk owners in workshops, and costs are indicative estimates. The threshold of 9 is a simplification; a mature approach would set appetite per risk category.</w:t>
      </w:r>
    </w:p>
    <w:p w14:paraId="44D67D21" w14:textId="77777777" w:rsidR="00756FC4" w:rsidRPr="00413AE6" w:rsidRDefault="00756FC4">
      <w:pPr>
        <w:rPr>
          <w:rFonts w:ascii="Times New Roman" w:hAnsi="Times New Roman" w:cs="Times New Roman"/>
          <w:sz w:val="28"/>
          <w:szCs w:val="28"/>
        </w:rPr>
      </w:pPr>
    </w:p>
    <w:sectPr w:rsidR="00756FC4" w:rsidRPr="00413A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A54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174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756C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3B43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7E5A4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5688453">
    <w:abstractNumId w:val="0"/>
  </w:num>
  <w:num w:numId="2" w16cid:durableId="2114858216">
    <w:abstractNumId w:val="1"/>
  </w:num>
  <w:num w:numId="3" w16cid:durableId="2082175739">
    <w:abstractNumId w:val="4"/>
  </w:num>
  <w:num w:numId="4" w16cid:durableId="1580627783">
    <w:abstractNumId w:val="2"/>
  </w:num>
  <w:num w:numId="5" w16cid:durableId="20883830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FC4"/>
    <w:rsid w:val="00013DF9"/>
    <w:rsid w:val="000E5952"/>
    <w:rsid w:val="00220D39"/>
    <w:rsid w:val="00232847"/>
    <w:rsid w:val="002406BE"/>
    <w:rsid w:val="00253F80"/>
    <w:rsid w:val="002D1880"/>
    <w:rsid w:val="003F6FFD"/>
    <w:rsid w:val="00413AE6"/>
    <w:rsid w:val="00432F51"/>
    <w:rsid w:val="0044244A"/>
    <w:rsid w:val="005C022E"/>
    <w:rsid w:val="006A38C2"/>
    <w:rsid w:val="00756FC4"/>
    <w:rsid w:val="00790513"/>
    <w:rsid w:val="007D4EF6"/>
    <w:rsid w:val="008F11F4"/>
    <w:rsid w:val="00A96194"/>
    <w:rsid w:val="00AA4D4A"/>
    <w:rsid w:val="00B73194"/>
    <w:rsid w:val="00C6044F"/>
    <w:rsid w:val="00C7516B"/>
    <w:rsid w:val="00D80F01"/>
    <w:rsid w:val="00EC39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C3B47FC"/>
  <w15:chartTrackingRefBased/>
  <w15:docId w15:val="{B0331139-B61D-654A-8DE4-5492CE871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6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F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F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6F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6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F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F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F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F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F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FC4"/>
    <w:rPr>
      <w:rFonts w:eastAsiaTheme="majorEastAsia" w:cstheme="majorBidi"/>
      <w:color w:val="272727" w:themeColor="text1" w:themeTint="D8"/>
    </w:rPr>
  </w:style>
  <w:style w:type="paragraph" w:styleId="Title">
    <w:name w:val="Title"/>
    <w:basedOn w:val="Normal"/>
    <w:next w:val="Normal"/>
    <w:link w:val="TitleChar"/>
    <w:uiPriority w:val="10"/>
    <w:qFormat/>
    <w:rsid w:val="00756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FC4"/>
    <w:pPr>
      <w:spacing w:before="160"/>
      <w:jc w:val="center"/>
    </w:pPr>
    <w:rPr>
      <w:i/>
      <w:iCs/>
      <w:color w:val="404040" w:themeColor="text1" w:themeTint="BF"/>
    </w:rPr>
  </w:style>
  <w:style w:type="character" w:customStyle="1" w:styleId="QuoteChar">
    <w:name w:val="Quote Char"/>
    <w:basedOn w:val="DefaultParagraphFont"/>
    <w:link w:val="Quote"/>
    <w:uiPriority w:val="29"/>
    <w:rsid w:val="00756FC4"/>
    <w:rPr>
      <w:i/>
      <w:iCs/>
      <w:color w:val="404040" w:themeColor="text1" w:themeTint="BF"/>
    </w:rPr>
  </w:style>
  <w:style w:type="paragraph" w:styleId="ListParagraph">
    <w:name w:val="List Paragraph"/>
    <w:basedOn w:val="Normal"/>
    <w:uiPriority w:val="34"/>
    <w:qFormat/>
    <w:rsid w:val="00756FC4"/>
    <w:pPr>
      <w:ind w:left="720"/>
      <w:contextualSpacing/>
    </w:pPr>
  </w:style>
  <w:style w:type="character" w:styleId="IntenseEmphasis">
    <w:name w:val="Intense Emphasis"/>
    <w:basedOn w:val="DefaultParagraphFont"/>
    <w:uiPriority w:val="21"/>
    <w:qFormat/>
    <w:rsid w:val="00756FC4"/>
    <w:rPr>
      <w:i/>
      <w:iCs/>
      <w:color w:val="0F4761" w:themeColor="accent1" w:themeShade="BF"/>
    </w:rPr>
  </w:style>
  <w:style w:type="paragraph" w:styleId="IntenseQuote">
    <w:name w:val="Intense Quote"/>
    <w:basedOn w:val="Normal"/>
    <w:next w:val="Normal"/>
    <w:link w:val="IntenseQuoteChar"/>
    <w:uiPriority w:val="30"/>
    <w:qFormat/>
    <w:rsid w:val="00756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FC4"/>
    <w:rPr>
      <w:i/>
      <w:iCs/>
      <w:color w:val="0F4761" w:themeColor="accent1" w:themeShade="BF"/>
    </w:rPr>
  </w:style>
  <w:style w:type="character" w:styleId="IntenseReference">
    <w:name w:val="Intense Reference"/>
    <w:basedOn w:val="DefaultParagraphFont"/>
    <w:uiPriority w:val="32"/>
    <w:qFormat/>
    <w:rsid w:val="00756FC4"/>
    <w:rPr>
      <w:b/>
      <w:bCs/>
      <w:smallCaps/>
      <w:color w:val="0F4761" w:themeColor="accent1" w:themeShade="BF"/>
      <w:spacing w:val="5"/>
    </w:rPr>
  </w:style>
  <w:style w:type="paragraph" w:styleId="NormalWeb">
    <w:name w:val="Normal (Web)"/>
    <w:basedOn w:val="Normal"/>
    <w:uiPriority w:val="99"/>
    <w:semiHidden/>
    <w:unhideWhenUsed/>
    <w:rsid w:val="00756FC4"/>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756FC4"/>
    <w:rPr>
      <w:b/>
      <w:bCs/>
    </w:rPr>
  </w:style>
  <w:style w:type="character" w:styleId="Emphasis">
    <w:name w:val="Emphasis"/>
    <w:basedOn w:val="DefaultParagraphFont"/>
    <w:uiPriority w:val="20"/>
    <w:qFormat/>
    <w:rsid w:val="00756FC4"/>
    <w:rPr>
      <w:i/>
      <w:iCs/>
    </w:rPr>
  </w:style>
  <w:style w:type="table" w:styleId="GridTable5Dark-Accent5">
    <w:name w:val="Grid Table 5 Dark Accent 5"/>
    <w:basedOn w:val="TableNormal"/>
    <w:uiPriority w:val="50"/>
    <w:rsid w:val="002328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4-Accent5">
    <w:name w:val="Grid Table 4 Accent 5"/>
    <w:basedOn w:val="TableNormal"/>
    <w:uiPriority w:val="49"/>
    <w:rsid w:val="002406BE"/>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3-Accent5">
    <w:name w:val="Grid Table 3 Accent 5"/>
    <w:basedOn w:val="TableNormal"/>
    <w:uiPriority w:val="48"/>
    <w:rsid w:val="002406BE"/>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ListTable4-Accent5">
    <w:name w:val="List Table 4 Accent 5"/>
    <w:basedOn w:val="TableNormal"/>
    <w:uiPriority w:val="49"/>
    <w:rsid w:val="002406BE"/>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1211</Words>
  <Characters>6904</Characters>
  <Application>Microsoft Office Word</Application>
  <DocSecurity>0</DocSecurity>
  <Lines>57</Lines>
  <Paragraphs>16</Paragraphs>
  <ScaleCrop>false</ScaleCrop>
  <Company/>
  <LinksUpToDate>false</LinksUpToDate>
  <CharactersWithSpaces>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Amarachi Nnochiri</dc:creator>
  <cp:keywords/>
  <dc:description/>
  <cp:lastModifiedBy>Amarachi Nnochiri</cp:lastModifiedBy>
  <cp:revision>2</cp:revision>
  <dcterms:created xsi:type="dcterms:W3CDTF">2026-10-28T11:42:00Z</dcterms:created>
  <dcterms:modified xsi:type="dcterms:W3CDTF">2026-10-28T11:42:00Z</dcterms:modified>
</cp:coreProperties>
</file>