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1F69" w14:textId="77777777" w:rsidR="00DA6407" w:rsidRDefault="00000000">
      <w:pPr>
        <w:spacing w:before="200" w:after="140"/>
        <w:jc w:val="center"/>
      </w:pPr>
      <w:r>
        <w:rPr>
          <w:b/>
          <w:bCs/>
          <w:color w:val="2E4A7D"/>
          <w:sz w:val="44"/>
          <w:szCs w:val="44"/>
        </w:rPr>
        <w:t>Active Learning for Learning-to-Defer</w:t>
      </w:r>
    </w:p>
    <w:p w14:paraId="7C61E9FD" w14:textId="77777777" w:rsidR="00DA6407" w:rsidRDefault="00000000">
      <w:pPr>
        <w:spacing w:after="200"/>
        <w:jc w:val="center"/>
      </w:pPr>
      <w:r>
        <w:rPr>
          <w:rFonts w:ascii="Arial" w:eastAsia="Arial" w:hAnsi="Arial" w:cs="Arial"/>
          <w:color w:val="7A86A8"/>
          <w:sz w:val="22"/>
          <w:szCs w:val="22"/>
        </w:rPr>
        <w:t>News topic classification on AG News with a simulated expert</w:t>
      </w:r>
    </w:p>
    <w:tbl>
      <w:tblPr>
        <w:tblW w:w="1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620"/>
        <w:gridCol w:w="620"/>
      </w:tblGrid>
      <w:tr w:rsidR="00DA6407" w14:paraId="16E93B16" w14:textId="77777777">
        <w:tblPrEx>
          <w:tblCellMar>
            <w:top w:w="0" w:type="dxa"/>
            <w:bottom w:w="0" w:type="dxa"/>
          </w:tblCellMar>
        </w:tblPrEx>
        <w:trPr>
          <w:trHeight w:hRule="exact" w:val="90"/>
          <w:jc w:val="center"/>
        </w:trPr>
        <w:tc>
          <w:tcPr>
            <w:tcW w:w="620" w:type="dxa"/>
            <w:tcBorders>
              <w:top w:val="none" w:sz="0" w:space="0" w:color="FFFFFF"/>
              <w:left w:val="none" w:sz="0" w:space="0" w:color="FFFFFF"/>
              <w:bottom w:val="none" w:sz="0" w:space="0" w:color="FFFFFF"/>
              <w:right w:val="none" w:sz="0" w:space="0" w:color="FFFFFF"/>
            </w:tcBorders>
            <w:shd w:val="clear" w:color="auto" w:fill="2E4A7D"/>
            <w:tcMar>
              <w:top w:w="0" w:type="dxa"/>
              <w:left w:w="0" w:type="dxa"/>
              <w:bottom w:w="0" w:type="dxa"/>
              <w:right w:w="0" w:type="dxa"/>
            </w:tcMar>
          </w:tcPr>
          <w:p w14:paraId="535A8FDC" w14:textId="77777777" w:rsidR="00DA6407" w:rsidRDefault="00DA6407"/>
        </w:tc>
        <w:tc>
          <w:tcPr>
            <w:tcW w:w="620" w:type="dxa"/>
            <w:tcBorders>
              <w:top w:val="none" w:sz="0" w:space="0" w:color="FFFFFF"/>
              <w:left w:val="none" w:sz="0" w:space="0" w:color="FFFFFF"/>
              <w:bottom w:val="none" w:sz="0" w:space="0" w:color="FFFFFF"/>
              <w:right w:val="none" w:sz="0" w:space="0" w:color="FFFFFF"/>
            </w:tcBorders>
            <w:shd w:val="clear" w:color="auto" w:fill="9FB2D8"/>
            <w:tcMar>
              <w:top w:w="0" w:type="dxa"/>
              <w:left w:w="0" w:type="dxa"/>
              <w:bottom w:w="0" w:type="dxa"/>
              <w:right w:w="0" w:type="dxa"/>
            </w:tcMar>
          </w:tcPr>
          <w:p w14:paraId="544DDBFD" w14:textId="77777777" w:rsidR="00DA6407" w:rsidRDefault="00DA6407"/>
        </w:tc>
        <w:tc>
          <w:tcPr>
            <w:tcW w:w="620" w:type="dxa"/>
            <w:tcBorders>
              <w:top w:val="none" w:sz="0" w:space="0" w:color="FFFFFF"/>
              <w:left w:val="none" w:sz="0" w:space="0" w:color="FFFFFF"/>
              <w:bottom w:val="none" w:sz="0" w:space="0" w:color="FFFFFF"/>
              <w:right w:val="none" w:sz="0" w:space="0" w:color="FFFFFF"/>
            </w:tcBorders>
            <w:shd w:val="clear" w:color="auto" w:fill="A98FCB"/>
            <w:tcMar>
              <w:top w:w="0" w:type="dxa"/>
              <w:left w:w="0" w:type="dxa"/>
              <w:bottom w:w="0" w:type="dxa"/>
              <w:right w:w="0" w:type="dxa"/>
            </w:tcMar>
          </w:tcPr>
          <w:p w14:paraId="49FD566C" w14:textId="77777777" w:rsidR="00DA6407" w:rsidRDefault="00DA6407"/>
        </w:tc>
      </w:tr>
    </w:tbl>
    <w:p w14:paraId="0C8C8A45" w14:textId="77777777" w:rsidR="00DA6407" w:rsidRDefault="00DA6407">
      <w:pPr>
        <w:spacing w:after="320"/>
      </w:pPr>
    </w:p>
    <w:p w14:paraId="06A1334A" w14:textId="77777777" w:rsidR="00DA6407" w:rsidRDefault="00000000">
      <w:pPr>
        <w:pStyle w:val="Heading1"/>
        <w:spacing w:before="400" w:after="140"/>
      </w:pPr>
      <w:r>
        <w:rPr>
          <w:b/>
          <w:bCs/>
          <w:color w:val="B5473C"/>
          <w:sz w:val="30"/>
          <w:szCs w:val="30"/>
        </w:rPr>
        <w:t>1</w:t>
      </w:r>
      <w:r>
        <w:rPr>
          <w:b/>
          <w:bCs/>
          <w:color w:val="2E4A7D"/>
          <w:sz w:val="30"/>
          <w:szCs w:val="30"/>
        </w:rPr>
        <w:t xml:space="preserve">   Introduction</w:t>
      </w:r>
    </w:p>
    <w:p w14:paraId="71395687" w14:textId="77777777" w:rsidR="00DA6407" w:rsidRDefault="00000000">
      <w:pPr>
        <w:pStyle w:val="BodyText10"/>
      </w:pPr>
      <w:r>
        <w:t>This project builds a news topic classifier that can collaborate with a human expert. For each article, the system either predicts the topic itself or defers the decision to the expert. The report covers five parts: a baseline classifier trained on all labels (Task 1), a simulated expert with uneven competence (Task 2), a learning-to-defer system that combines both (Task 3), an active learning study in which expert labels must be collected through a limited number of queries (Task 4), and an interactive interface where a real user can act as the expert (Task 5).</w:t>
      </w:r>
    </w:p>
    <w:p w14:paraId="3FB95F2C" w14:textId="77777777" w:rsidR="00DA6407" w:rsidRDefault="00000000">
      <w:pPr>
        <w:pStyle w:val="BodyText10"/>
      </w:pPr>
      <w:r>
        <w:t>All experiments use the official AG News dataset with 120,000 training articles and 7,600 test articles, evenly split over four topics: World, Sports, Business, and Sci/Tech. The test split is used only for evaluation and never for training. Every number in this report is read from result files that the code writes automatically, so all results can be reproduced by re-running the scripts (Section 7).</w:t>
      </w:r>
    </w:p>
    <w:p w14:paraId="4584E4A4" w14:textId="77777777" w:rsidR="00DA6407" w:rsidRDefault="00000000">
      <w:pPr>
        <w:pStyle w:val="Heading1"/>
        <w:spacing w:before="400" w:after="140"/>
      </w:pPr>
      <w:r>
        <w:rPr>
          <w:b/>
          <w:bCs/>
          <w:color w:val="B5473C"/>
          <w:sz w:val="30"/>
          <w:szCs w:val="30"/>
        </w:rPr>
        <w:t>2</w:t>
      </w:r>
      <w:r>
        <w:rPr>
          <w:b/>
          <w:bCs/>
          <w:color w:val="2E4A7D"/>
          <w:sz w:val="30"/>
          <w:szCs w:val="30"/>
        </w:rPr>
        <w:t xml:space="preserve">   Task 1: Baseline classifier</w:t>
      </w:r>
    </w:p>
    <w:p w14:paraId="16443043" w14:textId="2EA86581" w:rsidR="00DA6407" w:rsidRDefault="00F57B32">
      <w:pPr>
        <w:pStyle w:val="Heading2"/>
        <w:spacing w:before="240" w:after="100"/>
      </w:pPr>
      <w:r>
        <w:rPr>
          <w:rFonts w:ascii="Arial" w:eastAsia="Arial" w:hAnsi="Arial" w:cs="Arial"/>
          <w:b/>
          <w:bCs/>
          <w:color w:val="B5473C"/>
          <w:sz w:val="23"/>
          <w:szCs w:val="23"/>
        </w:rPr>
        <w:t>2.1</w:t>
      </w:r>
      <w:r>
        <w:rPr>
          <w:rFonts w:ascii="Arial" w:eastAsia="Arial" w:hAnsi="Arial" w:cs="Arial"/>
          <w:b/>
          <w:bCs/>
          <w:color w:val="2E4A7D"/>
          <w:sz w:val="23"/>
          <w:szCs w:val="23"/>
        </w:rPr>
        <w:t xml:space="preserve"> Experiment</w:t>
      </w:r>
      <w:r w:rsidR="00000000">
        <w:rPr>
          <w:rFonts w:ascii="Arial" w:eastAsia="Arial" w:hAnsi="Arial" w:cs="Arial"/>
          <w:b/>
          <w:bCs/>
          <w:color w:val="2E4A7D"/>
          <w:sz w:val="23"/>
          <w:szCs w:val="23"/>
        </w:rPr>
        <w:t xml:space="preserve"> and design choices</w:t>
      </w:r>
    </w:p>
    <w:p w14:paraId="50FC3528" w14:textId="77777777" w:rsidR="00DA6407" w:rsidRDefault="00000000">
      <w:pPr>
        <w:pStyle w:val="BodyText10"/>
      </w:pPr>
      <w:r>
        <w:t xml:space="preserve">The baseline is a TF-IDF representation followed by logistic regression, trained on all 120,000 labelled training articles. The vectorizer uses lowercasing, English stop-word removal, unigrams and bigrams, sublinear term-frequency scaling, and a vocabulary limit of 100,000 features (minimum document frequency 2, maximum 0.95). The classifier is multinomial logistic regression with the </w:t>
      </w:r>
      <w:proofErr w:type="spellStart"/>
      <w:r>
        <w:t>lbfgs</w:t>
      </w:r>
      <w:proofErr w:type="spellEnd"/>
      <w:r>
        <w:t xml:space="preserve"> solver and a fixed random seed (42).</w:t>
      </w:r>
    </w:p>
    <w:p w14:paraId="76902FEC" w14:textId="77777777" w:rsidR="00DA6407" w:rsidRDefault="00000000">
      <w:pPr>
        <w:pStyle w:val="BodyText10"/>
      </w:pPr>
      <w:r>
        <w:t>This combination was chosen for three reasons. First, linear models on TF-IDF features are a strong and well-understood baseline for topic classification of short news texts. Second, logistic regression produces calibrated-style class probabilities, which are needed later as confidence scores for the deferral decision (Task 3) and as input features for the expert competence model. Third, the model trains in minutes on the full dataset, which keeps the repeated experiments of Task 4 practical.</w:t>
      </w:r>
    </w:p>
    <w:p w14:paraId="148B5C42" w14:textId="5C78B373" w:rsidR="00DA6407" w:rsidRDefault="00F57B32">
      <w:pPr>
        <w:pStyle w:val="Heading2"/>
        <w:spacing w:before="240" w:after="100"/>
      </w:pPr>
      <w:r>
        <w:rPr>
          <w:rFonts w:ascii="Arial" w:eastAsia="Arial" w:hAnsi="Arial" w:cs="Arial"/>
          <w:b/>
          <w:bCs/>
          <w:color w:val="B5473C"/>
          <w:sz w:val="23"/>
          <w:szCs w:val="23"/>
        </w:rPr>
        <w:t>2.2</w:t>
      </w:r>
      <w:r>
        <w:rPr>
          <w:rFonts w:ascii="Arial" w:eastAsia="Arial" w:hAnsi="Arial" w:cs="Arial"/>
          <w:b/>
          <w:bCs/>
          <w:color w:val="2E4A7D"/>
          <w:sz w:val="23"/>
          <w:szCs w:val="23"/>
        </w:rPr>
        <w:t xml:space="preserve"> Results</w:t>
      </w:r>
    </w:p>
    <w:p w14:paraId="415F1CA1" w14:textId="77777777" w:rsidR="00DA6407" w:rsidRDefault="00000000">
      <w:pPr>
        <w:pStyle w:val="BodyText10"/>
      </w:pPr>
      <w:r>
        <w:t xml:space="preserve">The baseline reaches a test accuracy of </w:t>
      </w:r>
      <w:r>
        <w:rPr>
          <w:b/>
          <w:bCs/>
        </w:rPr>
        <w:t>92.24%</w:t>
      </w:r>
      <w:r>
        <w:t>. Table 1 shows the per-class results. Sports is the easiest class; Business and Sci/Tech are the hardest, mainly because these two topics overlap (for example, articles about technology companies).</w:t>
      </w:r>
    </w:p>
    <w:tbl>
      <w:tblPr>
        <w:tblW w:w="72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1360"/>
        <w:gridCol w:w="1360"/>
        <w:gridCol w:w="1360"/>
        <w:gridCol w:w="1360"/>
      </w:tblGrid>
      <w:tr w:rsidR="00DA6407" w14:paraId="0AB522C1" w14:textId="77777777" w:rsidTr="00F57B32">
        <w:tblPrEx>
          <w:tblCellMar>
            <w:top w:w="0" w:type="dxa"/>
            <w:bottom w:w="0" w:type="dxa"/>
          </w:tblCellMar>
        </w:tblPrEx>
        <w:trPr>
          <w:tblHeader/>
          <w:jc w:val="center"/>
        </w:trPr>
        <w:tc>
          <w:tcPr>
            <w:tcW w:w="181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78DA1F5B" w14:textId="77777777" w:rsidR="00DA6407" w:rsidRDefault="00000000">
            <w:r>
              <w:rPr>
                <w:rFonts w:ascii="Arial" w:eastAsia="Arial" w:hAnsi="Arial" w:cs="Arial"/>
                <w:b/>
                <w:bCs/>
                <w:color w:val="2E4A7D"/>
                <w:sz w:val="18"/>
                <w:szCs w:val="18"/>
              </w:rPr>
              <w:t>Class</w:t>
            </w:r>
          </w:p>
        </w:tc>
        <w:tc>
          <w:tcPr>
            <w:tcW w:w="136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62F1E237" w14:textId="77777777" w:rsidR="00DA6407" w:rsidRDefault="00000000">
            <w:pPr>
              <w:jc w:val="center"/>
            </w:pPr>
            <w:r>
              <w:rPr>
                <w:rFonts w:ascii="Arial" w:eastAsia="Arial" w:hAnsi="Arial" w:cs="Arial"/>
                <w:b/>
                <w:bCs/>
                <w:color w:val="2E4A7D"/>
                <w:sz w:val="18"/>
                <w:szCs w:val="18"/>
              </w:rPr>
              <w:t>Precision</w:t>
            </w:r>
          </w:p>
        </w:tc>
        <w:tc>
          <w:tcPr>
            <w:tcW w:w="136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74803111" w14:textId="77777777" w:rsidR="00DA6407" w:rsidRDefault="00000000">
            <w:pPr>
              <w:jc w:val="center"/>
            </w:pPr>
            <w:r>
              <w:rPr>
                <w:rFonts w:ascii="Arial" w:eastAsia="Arial" w:hAnsi="Arial" w:cs="Arial"/>
                <w:b/>
                <w:bCs/>
                <w:color w:val="2E4A7D"/>
                <w:sz w:val="18"/>
                <w:szCs w:val="18"/>
              </w:rPr>
              <w:t>Recall</w:t>
            </w:r>
          </w:p>
        </w:tc>
        <w:tc>
          <w:tcPr>
            <w:tcW w:w="136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74E75840" w14:textId="77777777" w:rsidR="00DA6407" w:rsidRDefault="00000000">
            <w:pPr>
              <w:jc w:val="center"/>
            </w:pPr>
            <w:r>
              <w:rPr>
                <w:rFonts w:ascii="Arial" w:eastAsia="Arial" w:hAnsi="Arial" w:cs="Arial"/>
                <w:b/>
                <w:bCs/>
                <w:color w:val="2E4A7D"/>
                <w:sz w:val="18"/>
                <w:szCs w:val="18"/>
              </w:rPr>
              <w:t>F1-score</w:t>
            </w:r>
          </w:p>
        </w:tc>
        <w:tc>
          <w:tcPr>
            <w:tcW w:w="136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6A3191D9" w14:textId="77777777" w:rsidR="00DA6407" w:rsidRDefault="00000000">
            <w:pPr>
              <w:jc w:val="center"/>
            </w:pPr>
            <w:r>
              <w:rPr>
                <w:rFonts w:ascii="Arial" w:eastAsia="Arial" w:hAnsi="Arial" w:cs="Arial"/>
                <w:b/>
                <w:bCs/>
                <w:color w:val="2E4A7D"/>
                <w:sz w:val="18"/>
                <w:szCs w:val="18"/>
              </w:rPr>
              <w:t>Support</w:t>
            </w:r>
          </w:p>
        </w:tc>
      </w:tr>
      <w:tr w:rsidR="00DA6407" w14:paraId="06501B9E"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202EF52" w14:textId="77777777" w:rsidR="00DA6407" w:rsidRDefault="00000000">
            <w:r>
              <w:rPr>
                <w:rFonts w:ascii="Arial" w:eastAsia="Arial" w:hAnsi="Arial" w:cs="Arial"/>
                <w:color w:val="333333"/>
                <w:sz w:val="18"/>
                <w:szCs w:val="18"/>
              </w:rPr>
              <w:t>World</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5A4193F" w14:textId="77777777" w:rsidR="00DA6407" w:rsidRDefault="00000000">
            <w:pPr>
              <w:jc w:val="center"/>
            </w:pPr>
            <w:r>
              <w:rPr>
                <w:rFonts w:ascii="Arial" w:eastAsia="Arial" w:hAnsi="Arial" w:cs="Arial"/>
                <w:color w:val="333333"/>
                <w:sz w:val="18"/>
                <w:szCs w:val="18"/>
              </w:rPr>
              <w:t>0.937</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369546A" w14:textId="77777777" w:rsidR="00DA6407" w:rsidRDefault="00000000">
            <w:pPr>
              <w:jc w:val="center"/>
            </w:pPr>
            <w:r>
              <w:rPr>
                <w:rFonts w:ascii="Arial" w:eastAsia="Arial" w:hAnsi="Arial" w:cs="Arial"/>
                <w:color w:val="333333"/>
                <w:sz w:val="18"/>
                <w:szCs w:val="18"/>
              </w:rPr>
              <w:t>0.911</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AD827C6" w14:textId="77777777" w:rsidR="00DA6407" w:rsidRDefault="00000000">
            <w:pPr>
              <w:jc w:val="center"/>
            </w:pPr>
            <w:r>
              <w:rPr>
                <w:rFonts w:ascii="Arial" w:eastAsia="Arial" w:hAnsi="Arial" w:cs="Arial"/>
                <w:color w:val="333333"/>
                <w:sz w:val="18"/>
                <w:szCs w:val="18"/>
              </w:rPr>
              <w:t>0.924</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717A926C" w14:textId="77777777" w:rsidR="00DA6407" w:rsidRDefault="00000000">
            <w:pPr>
              <w:jc w:val="center"/>
            </w:pPr>
            <w:r>
              <w:rPr>
                <w:rFonts w:ascii="Arial" w:eastAsia="Arial" w:hAnsi="Arial" w:cs="Arial"/>
                <w:color w:val="333333"/>
                <w:sz w:val="18"/>
                <w:szCs w:val="18"/>
              </w:rPr>
              <w:t>1,900</w:t>
            </w:r>
          </w:p>
        </w:tc>
      </w:tr>
      <w:tr w:rsidR="00DA6407" w14:paraId="7DA7299D"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4A4042E8" w14:textId="77777777" w:rsidR="00DA6407" w:rsidRDefault="00000000">
            <w:r>
              <w:rPr>
                <w:rFonts w:ascii="Arial" w:eastAsia="Arial" w:hAnsi="Arial" w:cs="Arial"/>
                <w:color w:val="333333"/>
                <w:sz w:val="18"/>
                <w:szCs w:val="18"/>
              </w:rPr>
              <w:t>Sports</w:t>
            </w:r>
          </w:p>
        </w:tc>
        <w:tc>
          <w:tcPr>
            <w:tcW w:w="136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1E539533" w14:textId="77777777" w:rsidR="00DA6407" w:rsidRDefault="00000000">
            <w:pPr>
              <w:jc w:val="center"/>
            </w:pPr>
            <w:r>
              <w:rPr>
                <w:rFonts w:ascii="Arial" w:eastAsia="Arial" w:hAnsi="Arial" w:cs="Arial"/>
                <w:color w:val="333333"/>
                <w:sz w:val="18"/>
                <w:szCs w:val="18"/>
              </w:rPr>
              <w:t>0.956</w:t>
            </w:r>
          </w:p>
        </w:tc>
        <w:tc>
          <w:tcPr>
            <w:tcW w:w="136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078F93FB" w14:textId="77777777" w:rsidR="00DA6407" w:rsidRDefault="00000000">
            <w:pPr>
              <w:jc w:val="center"/>
            </w:pPr>
            <w:r>
              <w:rPr>
                <w:rFonts w:ascii="Arial" w:eastAsia="Arial" w:hAnsi="Arial" w:cs="Arial"/>
                <w:color w:val="333333"/>
                <w:sz w:val="18"/>
                <w:szCs w:val="18"/>
              </w:rPr>
              <w:t>0.982</w:t>
            </w:r>
          </w:p>
        </w:tc>
        <w:tc>
          <w:tcPr>
            <w:tcW w:w="136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2A2CBE7B" w14:textId="77777777" w:rsidR="00DA6407" w:rsidRDefault="00000000">
            <w:pPr>
              <w:jc w:val="center"/>
            </w:pPr>
            <w:r>
              <w:rPr>
                <w:rFonts w:ascii="Arial" w:eastAsia="Arial" w:hAnsi="Arial" w:cs="Arial"/>
                <w:color w:val="333333"/>
                <w:sz w:val="18"/>
                <w:szCs w:val="18"/>
              </w:rPr>
              <w:t>0.969</w:t>
            </w:r>
          </w:p>
        </w:tc>
        <w:tc>
          <w:tcPr>
            <w:tcW w:w="136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1194344D" w14:textId="77777777" w:rsidR="00DA6407" w:rsidRDefault="00000000">
            <w:pPr>
              <w:jc w:val="center"/>
            </w:pPr>
            <w:r>
              <w:rPr>
                <w:rFonts w:ascii="Arial" w:eastAsia="Arial" w:hAnsi="Arial" w:cs="Arial"/>
                <w:color w:val="333333"/>
                <w:sz w:val="18"/>
                <w:szCs w:val="18"/>
              </w:rPr>
              <w:t>1,900</w:t>
            </w:r>
          </w:p>
        </w:tc>
      </w:tr>
      <w:tr w:rsidR="00DA6407" w14:paraId="2F8864AF"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0F45C5B" w14:textId="77777777" w:rsidR="00DA6407" w:rsidRDefault="00000000">
            <w:r>
              <w:rPr>
                <w:rFonts w:ascii="Arial" w:eastAsia="Arial" w:hAnsi="Arial" w:cs="Arial"/>
                <w:color w:val="333333"/>
                <w:sz w:val="18"/>
                <w:szCs w:val="18"/>
              </w:rPr>
              <w:t>Business</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987CD54" w14:textId="77777777" w:rsidR="00DA6407" w:rsidRDefault="00000000">
            <w:pPr>
              <w:jc w:val="center"/>
            </w:pPr>
            <w:r>
              <w:rPr>
                <w:rFonts w:ascii="Arial" w:eastAsia="Arial" w:hAnsi="Arial" w:cs="Arial"/>
                <w:color w:val="333333"/>
                <w:sz w:val="18"/>
                <w:szCs w:val="18"/>
              </w:rPr>
              <w:t>0.898</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9DCC0D2" w14:textId="77777777" w:rsidR="00DA6407" w:rsidRDefault="00000000">
            <w:pPr>
              <w:jc w:val="center"/>
            </w:pPr>
            <w:r>
              <w:rPr>
                <w:rFonts w:ascii="Arial" w:eastAsia="Arial" w:hAnsi="Arial" w:cs="Arial"/>
                <w:color w:val="333333"/>
                <w:sz w:val="18"/>
                <w:szCs w:val="18"/>
              </w:rPr>
              <w:t>0.890</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4DDFFB2" w14:textId="77777777" w:rsidR="00DA6407" w:rsidRDefault="00000000">
            <w:pPr>
              <w:jc w:val="center"/>
            </w:pPr>
            <w:r>
              <w:rPr>
                <w:rFonts w:ascii="Arial" w:eastAsia="Arial" w:hAnsi="Arial" w:cs="Arial"/>
                <w:color w:val="333333"/>
                <w:sz w:val="18"/>
                <w:szCs w:val="18"/>
              </w:rPr>
              <w:t>0.894</w:t>
            </w:r>
          </w:p>
        </w:tc>
        <w:tc>
          <w:tcPr>
            <w:tcW w:w="136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3A72D7A" w14:textId="77777777" w:rsidR="00DA6407" w:rsidRDefault="00000000">
            <w:pPr>
              <w:jc w:val="center"/>
            </w:pPr>
            <w:r>
              <w:rPr>
                <w:rFonts w:ascii="Arial" w:eastAsia="Arial" w:hAnsi="Arial" w:cs="Arial"/>
                <w:color w:val="333333"/>
                <w:sz w:val="18"/>
                <w:szCs w:val="18"/>
              </w:rPr>
              <w:t>1,900</w:t>
            </w:r>
          </w:p>
        </w:tc>
      </w:tr>
      <w:tr w:rsidR="00DA6407" w14:paraId="203710C9" w14:textId="77777777" w:rsidTr="00F57B32">
        <w:tblPrEx>
          <w:tblCellMar>
            <w:top w:w="0" w:type="dxa"/>
            <w:bottom w:w="0" w:type="dxa"/>
          </w:tblCellMar>
        </w:tblPrEx>
        <w:trPr>
          <w:jc w:val="center"/>
        </w:trPr>
        <w:tc>
          <w:tcPr>
            <w:tcW w:w="181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1E8B4C5E" w14:textId="77777777" w:rsidR="00DA6407" w:rsidRDefault="00000000">
            <w:r>
              <w:rPr>
                <w:rFonts w:ascii="Arial" w:eastAsia="Arial" w:hAnsi="Arial" w:cs="Arial"/>
                <w:color w:val="333333"/>
                <w:sz w:val="18"/>
                <w:szCs w:val="18"/>
              </w:rPr>
              <w:t>Sci/Tech</w:t>
            </w:r>
          </w:p>
        </w:tc>
        <w:tc>
          <w:tcPr>
            <w:tcW w:w="136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60FD6DDD" w14:textId="77777777" w:rsidR="00DA6407" w:rsidRDefault="00000000">
            <w:pPr>
              <w:jc w:val="center"/>
            </w:pPr>
            <w:r>
              <w:rPr>
                <w:rFonts w:ascii="Arial" w:eastAsia="Arial" w:hAnsi="Arial" w:cs="Arial"/>
                <w:color w:val="333333"/>
                <w:sz w:val="18"/>
                <w:szCs w:val="18"/>
              </w:rPr>
              <w:t>0.898</w:t>
            </w:r>
          </w:p>
        </w:tc>
        <w:tc>
          <w:tcPr>
            <w:tcW w:w="136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756CAE91" w14:textId="77777777" w:rsidR="00DA6407" w:rsidRDefault="00000000">
            <w:pPr>
              <w:jc w:val="center"/>
            </w:pPr>
            <w:r>
              <w:rPr>
                <w:rFonts w:ascii="Arial" w:eastAsia="Arial" w:hAnsi="Arial" w:cs="Arial"/>
                <w:color w:val="333333"/>
                <w:sz w:val="18"/>
                <w:szCs w:val="18"/>
              </w:rPr>
              <w:t>0.906</w:t>
            </w:r>
          </w:p>
        </w:tc>
        <w:tc>
          <w:tcPr>
            <w:tcW w:w="136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6571F778" w14:textId="77777777" w:rsidR="00DA6407" w:rsidRDefault="00000000">
            <w:pPr>
              <w:jc w:val="center"/>
            </w:pPr>
            <w:r>
              <w:rPr>
                <w:rFonts w:ascii="Arial" w:eastAsia="Arial" w:hAnsi="Arial" w:cs="Arial"/>
                <w:color w:val="333333"/>
                <w:sz w:val="18"/>
                <w:szCs w:val="18"/>
              </w:rPr>
              <w:t>0.902</w:t>
            </w:r>
          </w:p>
        </w:tc>
        <w:tc>
          <w:tcPr>
            <w:tcW w:w="136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602FAE1A" w14:textId="77777777" w:rsidR="00DA6407" w:rsidRDefault="00000000">
            <w:pPr>
              <w:jc w:val="center"/>
            </w:pPr>
            <w:r>
              <w:rPr>
                <w:rFonts w:ascii="Arial" w:eastAsia="Arial" w:hAnsi="Arial" w:cs="Arial"/>
                <w:color w:val="333333"/>
                <w:sz w:val="18"/>
                <w:szCs w:val="18"/>
              </w:rPr>
              <w:t>1,900</w:t>
            </w:r>
          </w:p>
        </w:tc>
      </w:tr>
    </w:tbl>
    <w:p w14:paraId="7B8BB3BA" w14:textId="77777777" w:rsidR="00DA6407" w:rsidRDefault="00000000" w:rsidP="00F57B32">
      <w:pPr>
        <w:pStyle w:val="Caption85"/>
        <w:jc w:val="center"/>
      </w:pPr>
      <w:r>
        <w:t>Table 1: Baseline test performance per class (accuracy 92.24%).</w:t>
      </w:r>
    </w:p>
    <w:p w14:paraId="397AD610" w14:textId="77777777" w:rsidR="00DA6407" w:rsidRDefault="00000000">
      <w:pPr>
        <w:pStyle w:val="Heading1"/>
        <w:spacing w:before="400" w:after="140"/>
      </w:pPr>
      <w:r>
        <w:rPr>
          <w:b/>
          <w:bCs/>
          <w:color w:val="B5473C"/>
          <w:sz w:val="30"/>
          <w:szCs w:val="30"/>
        </w:rPr>
        <w:lastRenderedPageBreak/>
        <w:t>3</w:t>
      </w:r>
      <w:r>
        <w:rPr>
          <w:b/>
          <w:bCs/>
          <w:color w:val="2E4A7D"/>
          <w:sz w:val="30"/>
          <w:szCs w:val="30"/>
        </w:rPr>
        <w:t xml:space="preserve">   Task 2: Simulated expert</w:t>
      </w:r>
    </w:p>
    <w:p w14:paraId="38730871" w14:textId="6EB16D25" w:rsidR="00DA6407" w:rsidRDefault="00F57B32">
      <w:pPr>
        <w:pStyle w:val="Heading2"/>
        <w:spacing w:before="240" w:after="100"/>
      </w:pPr>
      <w:r>
        <w:rPr>
          <w:rFonts w:ascii="Arial" w:eastAsia="Arial" w:hAnsi="Arial" w:cs="Arial"/>
          <w:b/>
          <w:bCs/>
          <w:color w:val="B5473C"/>
          <w:sz w:val="23"/>
          <w:szCs w:val="23"/>
        </w:rPr>
        <w:t>3.1</w:t>
      </w:r>
      <w:r>
        <w:rPr>
          <w:rFonts w:ascii="Arial" w:eastAsia="Arial" w:hAnsi="Arial" w:cs="Arial"/>
          <w:b/>
          <w:bCs/>
          <w:color w:val="2E4A7D"/>
          <w:sz w:val="23"/>
          <w:szCs w:val="23"/>
        </w:rPr>
        <w:t xml:space="preserve"> Design</w:t>
      </w:r>
      <w:r w:rsidR="00000000">
        <w:rPr>
          <w:rFonts w:ascii="Arial" w:eastAsia="Arial" w:hAnsi="Arial" w:cs="Arial"/>
          <w:b/>
          <w:bCs/>
          <w:color w:val="2E4A7D"/>
          <w:sz w:val="23"/>
          <w:szCs w:val="23"/>
        </w:rPr>
        <w:t xml:space="preserve"> and justification</w:t>
      </w:r>
    </w:p>
    <w:p w14:paraId="3017AEB8" w14:textId="77777777" w:rsidR="00DA6407" w:rsidRDefault="00000000">
      <w:pPr>
        <w:pStyle w:val="BodyText10"/>
      </w:pPr>
      <w:r>
        <w:t>The simulated expert is a Business news specialist. Its probability of answering correctly depends on the true topic of the article: 97% for Business, 86% for World, 84% for Sci/Tech, and only 70% for Sports. When the expert is wrong, it picks one of the three other classes. Competence that depends on the topic is a common and realistic way to model expertise in specific regions of the input space: the four topics correspond to different regions of the text space, and the expert is strong in some of them and weak in others. Importantly, the deferral system never sees the true label, so it must recover these competence regions from the article features alone, which is exactly what makes Tasks 3 and 4 non-trivial.</w:t>
      </w:r>
    </w:p>
    <w:p w14:paraId="17969041" w14:textId="77777777" w:rsidR="00DA6407" w:rsidRDefault="00000000">
      <w:pPr>
        <w:pStyle w:val="BodyText10"/>
      </w:pPr>
      <w:r>
        <w:t>The expert is deterministic: correctness and the choice of wrong label are derived from a hash of the article text and a fixed seed. Querying the same article twice therefore always returns the same answer, like a consistent human annotator, and all experiments are exactly reproducible.</w:t>
      </w:r>
    </w:p>
    <w:p w14:paraId="0628C510" w14:textId="0E469144" w:rsidR="00DA6407" w:rsidRDefault="00F57B32">
      <w:pPr>
        <w:pStyle w:val="Heading2"/>
        <w:spacing w:before="240" w:after="100"/>
      </w:pPr>
      <w:r>
        <w:rPr>
          <w:rFonts w:ascii="Arial" w:eastAsia="Arial" w:hAnsi="Arial" w:cs="Arial"/>
          <w:b/>
          <w:bCs/>
          <w:color w:val="B5473C"/>
          <w:sz w:val="23"/>
          <w:szCs w:val="23"/>
        </w:rPr>
        <w:t>3.2</w:t>
      </w:r>
      <w:r>
        <w:rPr>
          <w:rFonts w:ascii="Arial" w:eastAsia="Arial" w:hAnsi="Arial" w:cs="Arial"/>
          <w:b/>
          <w:bCs/>
          <w:color w:val="2E4A7D"/>
          <w:sz w:val="23"/>
          <w:szCs w:val="23"/>
        </w:rPr>
        <w:t xml:space="preserve"> Results</w:t>
      </w:r>
    </w:p>
    <w:p w14:paraId="651CBA2C" w14:textId="77777777" w:rsidR="00DA6407" w:rsidRDefault="00000000">
      <w:pPr>
        <w:pStyle w:val="BodyText10"/>
      </w:pPr>
      <w:r>
        <w:t xml:space="preserve">The expert reaches an overall test accuracy of </w:t>
      </w:r>
      <w:r>
        <w:rPr>
          <w:b/>
          <w:bCs/>
        </w:rPr>
        <w:t>84.26%</w:t>
      </w:r>
      <w:r>
        <w:t>, clearly below the 92.24% baseline. Table 2 compares the designed and measured per-class accuracy; the small differences are ordinary sampling noise. The expert's strength (Business, 97.5%) is precisely where the baseline is weakest (89.0%), and its weakness (Sports, 71.0%) is where the baseline is strongest (98.2%). The two team members are therefore complementary, and a good deferral policy should be able to combine them into a team that beats both.</w:t>
      </w:r>
    </w:p>
    <w:tbl>
      <w:tblPr>
        <w:tblW w:w="7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2040"/>
        <w:gridCol w:w="2040"/>
        <w:gridCol w:w="1700"/>
      </w:tblGrid>
      <w:tr w:rsidR="00DA6407" w14:paraId="02EF5BAF" w14:textId="77777777" w:rsidTr="00F57B32">
        <w:tblPrEx>
          <w:tblCellMar>
            <w:top w:w="0" w:type="dxa"/>
            <w:bottom w:w="0" w:type="dxa"/>
          </w:tblCellMar>
        </w:tblPrEx>
        <w:trPr>
          <w:tblHeader/>
          <w:jc w:val="center"/>
        </w:trPr>
        <w:tc>
          <w:tcPr>
            <w:tcW w:w="181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1A1F0F24" w14:textId="77777777" w:rsidR="00DA6407" w:rsidRDefault="00000000">
            <w:r>
              <w:rPr>
                <w:rFonts w:ascii="Arial" w:eastAsia="Arial" w:hAnsi="Arial" w:cs="Arial"/>
                <w:b/>
                <w:bCs/>
                <w:color w:val="2E4A7D"/>
                <w:sz w:val="18"/>
                <w:szCs w:val="18"/>
              </w:rPr>
              <w:t>Class</w:t>
            </w:r>
          </w:p>
        </w:tc>
        <w:tc>
          <w:tcPr>
            <w:tcW w:w="204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349493CC" w14:textId="77777777" w:rsidR="00DA6407" w:rsidRDefault="00000000">
            <w:pPr>
              <w:jc w:val="center"/>
            </w:pPr>
            <w:r>
              <w:rPr>
                <w:rFonts w:ascii="Arial" w:eastAsia="Arial" w:hAnsi="Arial" w:cs="Arial"/>
                <w:b/>
                <w:bCs/>
                <w:color w:val="2E4A7D"/>
                <w:sz w:val="18"/>
                <w:szCs w:val="18"/>
              </w:rPr>
              <w:t>Designed accuracy</w:t>
            </w:r>
          </w:p>
        </w:tc>
        <w:tc>
          <w:tcPr>
            <w:tcW w:w="204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42F6CA08" w14:textId="77777777" w:rsidR="00DA6407" w:rsidRDefault="00000000">
            <w:pPr>
              <w:jc w:val="center"/>
            </w:pPr>
            <w:r>
              <w:rPr>
                <w:rFonts w:ascii="Arial" w:eastAsia="Arial" w:hAnsi="Arial" w:cs="Arial"/>
                <w:b/>
                <w:bCs/>
                <w:color w:val="2E4A7D"/>
                <w:sz w:val="18"/>
                <w:szCs w:val="18"/>
              </w:rPr>
              <w:t>Measured accuracy</w:t>
            </w:r>
          </w:p>
        </w:tc>
        <w:tc>
          <w:tcPr>
            <w:tcW w:w="170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10B17558" w14:textId="77777777" w:rsidR="00DA6407" w:rsidRDefault="00000000">
            <w:pPr>
              <w:jc w:val="center"/>
            </w:pPr>
            <w:r>
              <w:rPr>
                <w:rFonts w:ascii="Arial" w:eastAsia="Arial" w:hAnsi="Arial" w:cs="Arial"/>
                <w:b/>
                <w:bCs/>
                <w:color w:val="2E4A7D"/>
                <w:sz w:val="18"/>
                <w:szCs w:val="18"/>
              </w:rPr>
              <w:t>Test samples</w:t>
            </w:r>
          </w:p>
        </w:tc>
      </w:tr>
      <w:tr w:rsidR="00DA6407" w14:paraId="41F012ED"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39CEA38" w14:textId="77777777" w:rsidR="00DA6407" w:rsidRDefault="00000000">
            <w:r>
              <w:rPr>
                <w:rFonts w:ascii="Arial" w:eastAsia="Arial" w:hAnsi="Arial" w:cs="Arial"/>
                <w:color w:val="333333"/>
                <w:sz w:val="18"/>
                <w:szCs w:val="18"/>
              </w:rPr>
              <w:t>World</w:t>
            </w:r>
          </w:p>
        </w:tc>
        <w:tc>
          <w:tcPr>
            <w:tcW w:w="204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5D22F2E" w14:textId="77777777" w:rsidR="00DA6407" w:rsidRDefault="00000000">
            <w:pPr>
              <w:jc w:val="center"/>
            </w:pPr>
            <w:r>
              <w:rPr>
                <w:rFonts w:ascii="Arial" w:eastAsia="Arial" w:hAnsi="Arial" w:cs="Arial"/>
                <w:color w:val="333333"/>
                <w:sz w:val="18"/>
                <w:szCs w:val="18"/>
              </w:rPr>
              <w:t>86.0%</w:t>
            </w:r>
          </w:p>
        </w:tc>
        <w:tc>
          <w:tcPr>
            <w:tcW w:w="204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B68B11C" w14:textId="77777777" w:rsidR="00DA6407" w:rsidRDefault="00000000">
            <w:pPr>
              <w:jc w:val="center"/>
            </w:pPr>
            <w:r>
              <w:rPr>
                <w:rFonts w:ascii="Arial" w:eastAsia="Arial" w:hAnsi="Arial" w:cs="Arial"/>
                <w:color w:val="333333"/>
                <w:sz w:val="18"/>
                <w:szCs w:val="18"/>
              </w:rPr>
              <w:t>85.9%</w:t>
            </w:r>
          </w:p>
        </w:tc>
        <w:tc>
          <w:tcPr>
            <w:tcW w:w="17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A5F37E4" w14:textId="77777777" w:rsidR="00DA6407" w:rsidRDefault="00000000">
            <w:pPr>
              <w:jc w:val="center"/>
            </w:pPr>
            <w:r>
              <w:rPr>
                <w:rFonts w:ascii="Arial" w:eastAsia="Arial" w:hAnsi="Arial" w:cs="Arial"/>
                <w:color w:val="333333"/>
                <w:sz w:val="18"/>
                <w:szCs w:val="18"/>
              </w:rPr>
              <w:t>1,900</w:t>
            </w:r>
          </w:p>
        </w:tc>
      </w:tr>
      <w:tr w:rsidR="00DA6407" w14:paraId="08306546"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3212D38F" w14:textId="77777777" w:rsidR="00DA6407" w:rsidRDefault="00000000">
            <w:r>
              <w:rPr>
                <w:rFonts w:ascii="Arial" w:eastAsia="Arial" w:hAnsi="Arial" w:cs="Arial"/>
                <w:color w:val="333333"/>
                <w:sz w:val="18"/>
                <w:szCs w:val="18"/>
              </w:rPr>
              <w:t>Sports</w:t>
            </w:r>
          </w:p>
        </w:tc>
        <w:tc>
          <w:tcPr>
            <w:tcW w:w="204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174AD70A" w14:textId="77777777" w:rsidR="00DA6407" w:rsidRDefault="00000000">
            <w:pPr>
              <w:jc w:val="center"/>
            </w:pPr>
            <w:r>
              <w:rPr>
                <w:rFonts w:ascii="Arial" w:eastAsia="Arial" w:hAnsi="Arial" w:cs="Arial"/>
                <w:color w:val="333333"/>
                <w:sz w:val="18"/>
                <w:szCs w:val="18"/>
              </w:rPr>
              <w:t>70.0%</w:t>
            </w:r>
          </w:p>
        </w:tc>
        <w:tc>
          <w:tcPr>
            <w:tcW w:w="204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2D28560D" w14:textId="77777777" w:rsidR="00DA6407" w:rsidRDefault="00000000">
            <w:pPr>
              <w:jc w:val="center"/>
            </w:pPr>
            <w:r>
              <w:rPr>
                <w:rFonts w:ascii="Arial" w:eastAsia="Arial" w:hAnsi="Arial" w:cs="Arial"/>
                <w:color w:val="333333"/>
                <w:sz w:val="18"/>
                <w:szCs w:val="18"/>
              </w:rPr>
              <w:t>71.0%</w:t>
            </w:r>
          </w:p>
        </w:tc>
        <w:tc>
          <w:tcPr>
            <w:tcW w:w="170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F7A0C22" w14:textId="77777777" w:rsidR="00DA6407" w:rsidRDefault="00000000">
            <w:pPr>
              <w:jc w:val="center"/>
            </w:pPr>
            <w:r>
              <w:rPr>
                <w:rFonts w:ascii="Arial" w:eastAsia="Arial" w:hAnsi="Arial" w:cs="Arial"/>
                <w:color w:val="333333"/>
                <w:sz w:val="18"/>
                <w:szCs w:val="18"/>
              </w:rPr>
              <w:t>1,900</w:t>
            </w:r>
          </w:p>
        </w:tc>
      </w:tr>
      <w:tr w:rsidR="00DA6407" w14:paraId="2377AAEC"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3A9D7B7" w14:textId="77777777" w:rsidR="00DA6407" w:rsidRDefault="00000000">
            <w:r>
              <w:rPr>
                <w:rFonts w:ascii="Arial" w:eastAsia="Arial" w:hAnsi="Arial" w:cs="Arial"/>
                <w:color w:val="333333"/>
                <w:sz w:val="18"/>
                <w:szCs w:val="18"/>
              </w:rPr>
              <w:t>Business</w:t>
            </w:r>
          </w:p>
        </w:tc>
        <w:tc>
          <w:tcPr>
            <w:tcW w:w="204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5C5648A" w14:textId="77777777" w:rsidR="00DA6407" w:rsidRDefault="00000000">
            <w:pPr>
              <w:jc w:val="center"/>
            </w:pPr>
            <w:r>
              <w:rPr>
                <w:rFonts w:ascii="Arial" w:eastAsia="Arial" w:hAnsi="Arial" w:cs="Arial"/>
                <w:color w:val="333333"/>
                <w:sz w:val="18"/>
                <w:szCs w:val="18"/>
              </w:rPr>
              <w:t>97.0%</w:t>
            </w:r>
          </w:p>
        </w:tc>
        <w:tc>
          <w:tcPr>
            <w:tcW w:w="204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0AEF2E6" w14:textId="77777777" w:rsidR="00DA6407" w:rsidRDefault="00000000">
            <w:pPr>
              <w:jc w:val="center"/>
            </w:pPr>
            <w:r>
              <w:rPr>
                <w:rFonts w:ascii="Arial" w:eastAsia="Arial" w:hAnsi="Arial" w:cs="Arial"/>
                <w:color w:val="333333"/>
                <w:sz w:val="18"/>
                <w:szCs w:val="18"/>
              </w:rPr>
              <w:t>97.5%</w:t>
            </w:r>
          </w:p>
        </w:tc>
        <w:tc>
          <w:tcPr>
            <w:tcW w:w="17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2A9498E" w14:textId="77777777" w:rsidR="00DA6407" w:rsidRDefault="00000000">
            <w:pPr>
              <w:jc w:val="center"/>
            </w:pPr>
            <w:r>
              <w:rPr>
                <w:rFonts w:ascii="Arial" w:eastAsia="Arial" w:hAnsi="Arial" w:cs="Arial"/>
                <w:color w:val="333333"/>
                <w:sz w:val="18"/>
                <w:szCs w:val="18"/>
              </w:rPr>
              <w:t>1,900</w:t>
            </w:r>
          </w:p>
        </w:tc>
      </w:tr>
      <w:tr w:rsidR="00DA6407" w14:paraId="5466C24D" w14:textId="77777777" w:rsidTr="00F57B32">
        <w:tblPrEx>
          <w:tblCellMar>
            <w:top w:w="0" w:type="dxa"/>
            <w:bottom w:w="0" w:type="dxa"/>
          </w:tblCellMar>
        </w:tblPrEx>
        <w:trPr>
          <w:jc w:val="center"/>
        </w:trPr>
        <w:tc>
          <w:tcPr>
            <w:tcW w:w="181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40E4ED83" w14:textId="77777777" w:rsidR="00DA6407" w:rsidRDefault="00000000">
            <w:r>
              <w:rPr>
                <w:rFonts w:ascii="Arial" w:eastAsia="Arial" w:hAnsi="Arial" w:cs="Arial"/>
                <w:color w:val="333333"/>
                <w:sz w:val="18"/>
                <w:szCs w:val="18"/>
              </w:rPr>
              <w:t>Sci/Tech</w:t>
            </w:r>
          </w:p>
        </w:tc>
        <w:tc>
          <w:tcPr>
            <w:tcW w:w="204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297882E6" w14:textId="77777777" w:rsidR="00DA6407" w:rsidRDefault="00000000">
            <w:pPr>
              <w:jc w:val="center"/>
            </w:pPr>
            <w:r>
              <w:rPr>
                <w:rFonts w:ascii="Arial" w:eastAsia="Arial" w:hAnsi="Arial" w:cs="Arial"/>
                <w:color w:val="333333"/>
                <w:sz w:val="18"/>
                <w:szCs w:val="18"/>
              </w:rPr>
              <w:t>84.0%</w:t>
            </w:r>
          </w:p>
        </w:tc>
        <w:tc>
          <w:tcPr>
            <w:tcW w:w="204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0F426FE6" w14:textId="77777777" w:rsidR="00DA6407" w:rsidRDefault="00000000">
            <w:pPr>
              <w:jc w:val="center"/>
            </w:pPr>
            <w:r>
              <w:rPr>
                <w:rFonts w:ascii="Arial" w:eastAsia="Arial" w:hAnsi="Arial" w:cs="Arial"/>
                <w:color w:val="333333"/>
                <w:sz w:val="18"/>
                <w:szCs w:val="18"/>
              </w:rPr>
              <w:t>82.6%</w:t>
            </w:r>
          </w:p>
        </w:tc>
        <w:tc>
          <w:tcPr>
            <w:tcW w:w="170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02CB82D4" w14:textId="77777777" w:rsidR="00DA6407" w:rsidRDefault="00000000">
            <w:pPr>
              <w:jc w:val="center"/>
            </w:pPr>
            <w:r>
              <w:rPr>
                <w:rFonts w:ascii="Arial" w:eastAsia="Arial" w:hAnsi="Arial" w:cs="Arial"/>
                <w:color w:val="333333"/>
                <w:sz w:val="18"/>
                <w:szCs w:val="18"/>
              </w:rPr>
              <w:t>1,900</w:t>
            </w:r>
          </w:p>
        </w:tc>
      </w:tr>
    </w:tbl>
    <w:p w14:paraId="0538E22A" w14:textId="77777777" w:rsidR="00DA6407" w:rsidRDefault="00000000" w:rsidP="00F57B32">
      <w:pPr>
        <w:pStyle w:val="Caption85"/>
        <w:jc w:val="center"/>
      </w:pPr>
      <w:r>
        <w:t>Table 2: Simulated expert accuracy per class (overall 84.26%).</w:t>
      </w:r>
    </w:p>
    <w:p w14:paraId="724915BC" w14:textId="77777777" w:rsidR="00DA6407" w:rsidRDefault="00000000">
      <w:pPr>
        <w:pStyle w:val="Heading1"/>
        <w:spacing w:before="400" w:after="140"/>
      </w:pPr>
      <w:r>
        <w:rPr>
          <w:b/>
          <w:bCs/>
          <w:color w:val="B5473C"/>
          <w:sz w:val="30"/>
          <w:szCs w:val="30"/>
        </w:rPr>
        <w:t>4</w:t>
      </w:r>
      <w:r>
        <w:rPr>
          <w:b/>
          <w:bCs/>
          <w:color w:val="2E4A7D"/>
          <w:sz w:val="30"/>
          <w:szCs w:val="30"/>
        </w:rPr>
        <w:t xml:space="preserve">   Task 3: Learning to defer</w:t>
      </w:r>
    </w:p>
    <w:p w14:paraId="78D3BB23" w14:textId="638E30CF" w:rsidR="00DA6407" w:rsidRDefault="00F57B32">
      <w:pPr>
        <w:pStyle w:val="Heading2"/>
        <w:spacing w:before="240" w:after="100"/>
      </w:pPr>
      <w:r>
        <w:rPr>
          <w:rFonts w:ascii="Arial" w:eastAsia="Arial" w:hAnsi="Arial" w:cs="Arial"/>
          <w:b/>
          <w:bCs/>
          <w:color w:val="B5473C"/>
          <w:sz w:val="23"/>
          <w:szCs w:val="23"/>
        </w:rPr>
        <w:t>4.1</w:t>
      </w:r>
      <w:r>
        <w:rPr>
          <w:rFonts w:ascii="Arial" w:eastAsia="Arial" w:hAnsi="Arial" w:cs="Arial"/>
          <w:b/>
          <w:bCs/>
          <w:color w:val="2E4A7D"/>
          <w:sz w:val="23"/>
          <w:szCs w:val="23"/>
        </w:rPr>
        <w:t xml:space="preserve"> Method</w:t>
      </w:r>
      <w:r w:rsidR="00000000">
        <w:rPr>
          <w:rFonts w:ascii="Arial" w:eastAsia="Arial" w:hAnsi="Arial" w:cs="Arial"/>
          <w:b/>
          <w:bCs/>
          <w:color w:val="2E4A7D"/>
          <w:sz w:val="23"/>
          <w:szCs w:val="23"/>
        </w:rPr>
        <w:t xml:space="preserve"> and design choices</w:t>
      </w:r>
    </w:p>
    <w:p w14:paraId="6DBF3901" w14:textId="77777777" w:rsidR="00DA6407" w:rsidRDefault="00000000">
      <w:pPr>
        <w:pStyle w:val="BodyText10"/>
      </w:pPr>
      <w:r>
        <w:t>In this task, expert answers are available for the whole training set. The system uses a staged design with two parts. First, a competence model (logistic regression) is trained to predict the probability that the expert answers a given article correctly. Its input features are the four class probabilities of the baseline classifier, which describe indirectly which region of the news space an article belongs to. The training target is 1 when the expert's training answer was correct and 0 otherwise. Second, at prediction time the system defers an article to the expert whenever the estimated expert competence is higher than the classifier's own confidence (the maximum class probability); the margin is set to 0, meaning both team members are treated symmetrically.</w:t>
      </w:r>
    </w:p>
    <w:p w14:paraId="5BFACEFA" w14:textId="77777777" w:rsidR="00DA6407" w:rsidRDefault="00000000">
      <w:pPr>
        <w:pStyle w:val="BodyText10"/>
      </w:pPr>
      <w:r>
        <w:t xml:space="preserve">A staged design was chosen instead of a joint learning-to-defer objective with a surrogate loss (for example the consistent surrogate of </w:t>
      </w:r>
      <w:proofErr w:type="spellStart"/>
      <w:r>
        <w:t>Mozannar</w:t>
      </w:r>
      <w:proofErr w:type="spellEnd"/>
      <w:r>
        <w:t xml:space="preserve"> and Sontag, 2020). The joint approach is theoretically attractive because it optimizes classifier and deferral together, but the staged approach is simpler, easy to interpret, reuses the Task 1 classifier unchanged, and carries over directly to Task 4, where the </w:t>
      </w:r>
      <w:r>
        <w:lastRenderedPageBreak/>
        <w:t>competence model must be retrained many times on small query sets. This simplicity-versus-optimality trade-off is a deliberate design decision.</w:t>
      </w:r>
    </w:p>
    <w:p w14:paraId="3FE33126" w14:textId="0AC68CC2" w:rsidR="00DA6407" w:rsidRDefault="00F57B32">
      <w:pPr>
        <w:pStyle w:val="Heading2"/>
        <w:spacing w:before="240" w:after="100"/>
      </w:pPr>
      <w:r>
        <w:rPr>
          <w:rFonts w:ascii="Arial" w:eastAsia="Arial" w:hAnsi="Arial" w:cs="Arial"/>
          <w:b/>
          <w:bCs/>
          <w:color w:val="B5473C"/>
          <w:sz w:val="23"/>
          <w:szCs w:val="23"/>
        </w:rPr>
        <w:t>4.2</w:t>
      </w:r>
      <w:r>
        <w:rPr>
          <w:rFonts w:ascii="Arial" w:eastAsia="Arial" w:hAnsi="Arial" w:cs="Arial"/>
          <w:b/>
          <w:bCs/>
          <w:color w:val="2E4A7D"/>
          <w:sz w:val="23"/>
          <w:szCs w:val="23"/>
        </w:rPr>
        <w:t xml:space="preserve"> Results</w:t>
      </w:r>
    </w:p>
    <w:p w14:paraId="09E160F7" w14:textId="77777777" w:rsidR="00DA6407" w:rsidRDefault="00000000">
      <w:pPr>
        <w:pStyle w:val="BodyText10"/>
      </w:pPr>
      <w:r>
        <w:t xml:space="preserve">The human-AI team reaches </w:t>
      </w:r>
      <w:r>
        <w:rPr>
          <w:b/>
          <w:bCs/>
        </w:rPr>
        <w:t>94.84%</w:t>
      </w:r>
      <w:r>
        <w:t xml:space="preserve"> test accuracy, an improvement of 2.61 percentage points over the AI alone (92.24%) and more than 10 points over the expert alone (84.26%). The system defers 37.5% of the articles (2,853 of 7,600). An oracle that always picks whichever team member is correct would reach 99.17%, so the learned policy captures a substantial part of the possible benefit.</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0"/>
        <w:gridCol w:w="1930"/>
      </w:tblGrid>
      <w:tr w:rsidR="00DA6407" w14:paraId="4EEAA554" w14:textId="77777777" w:rsidTr="00F57B32">
        <w:tblPrEx>
          <w:tblCellMar>
            <w:top w:w="0" w:type="dxa"/>
            <w:bottom w:w="0" w:type="dxa"/>
          </w:tblCellMar>
        </w:tblPrEx>
        <w:trPr>
          <w:tblHeader/>
          <w:jc w:val="center"/>
        </w:trPr>
        <w:tc>
          <w:tcPr>
            <w:tcW w:w="487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26519543" w14:textId="77777777" w:rsidR="00DA6407" w:rsidRDefault="00000000">
            <w:r>
              <w:rPr>
                <w:rFonts w:ascii="Arial" w:eastAsia="Arial" w:hAnsi="Arial" w:cs="Arial"/>
                <w:b/>
                <w:bCs/>
                <w:color w:val="2E4A7D"/>
                <w:sz w:val="18"/>
                <w:szCs w:val="18"/>
              </w:rPr>
              <w:t>Metric</w:t>
            </w:r>
          </w:p>
        </w:tc>
        <w:tc>
          <w:tcPr>
            <w:tcW w:w="193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22D7E14A" w14:textId="77777777" w:rsidR="00DA6407" w:rsidRDefault="00000000">
            <w:pPr>
              <w:jc w:val="center"/>
            </w:pPr>
            <w:r>
              <w:rPr>
                <w:rFonts w:ascii="Arial" w:eastAsia="Arial" w:hAnsi="Arial" w:cs="Arial"/>
                <w:b/>
                <w:bCs/>
                <w:color w:val="2E4A7D"/>
                <w:sz w:val="18"/>
                <w:szCs w:val="18"/>
              </w:rPr>
              <w:t>Value</w:t>
            </w:r>
          </w:p>
        </w:tc>
      </w:tr>
      <w:tr w:rsidR="00DA6407" w14:paraId="22931181"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AD5725E" w14:textId="77777777" w:rsidR="00DA6407" w:rsidRDefault="00000000">
            <w:r>
              <w:rPr>
                <w:rFonts w:ascii="Arial" w:eastAsia="Arial" w:hAnsi="Arial" w:cs="Arial"/>
                <w:color w:val="333333"/>
                <w:sz w:val="18"/>
                <w:szCs w:val="18"/>
              </w:rPr>
              <w:t>AI-only accuracy</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9913461" w14:textId="77777777" w:rsidR="00DA6407" w:rsidRDefault="00000000">
            <w:pPr>
              <w:jc w:val="center"/>
            </w:pPr>
            <w:r>
              <w:rPr>
                <w:rFonts w:ascii="Arial" w:eastAsia="Arial" w:hAnsi="Arial" w:cs="Arial"/>
                <w:color w:val="333333"/>
                <w:sz w:val="18"/>
                <w:szCs w:val="18"/>
              </w:rPr>
              <w:t>92.24%</w:t>
            </w:r>
          </w:p>
        </w:tc>
      </w:tr>
      <w:tr w:rsidR="00DA6407" w14:paraId="61ED3E29"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F135867" w14:textId="77777777" w:rsidR="00DA6407" w:rsidRDefault="00000000">
            <w:r>
              <w:rPr>
                <w:rFonts w:ascii="Arial" w:eastAsia="Arial" w:hAnsi="Arial" w:cs="Arial"/>
                <w:color w:val="333333"/>
                <w:sz w:val="18"/>
                <w:szCs w:val="18"/>
              </w:rPr>
              <w:t>Expert-only accuracy</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24335FC1" w14:textId="77777777" w:rsidR="00DA6407" w:rsidRDefault="00000000">
            <w:pPr>
              <w:jc w:val="center"/>
            </w:pPr>
            <w:r>
              <w:rPr>
                <w:rFonts w:ascii="Arial" w:eastAsia="Arial" w:hAnsi="Arial" w:cs="Arial"/>
                <w:color w:val="333333"/>
                <w:sz w:val="18"/>
                <w:szCs w:val="18"/>
              </w:rPr>
              <w:t>84.26%</w:t>
            </w:r>
          </w:p>
        </w:tc>
      </w:tr>
      <w:tr w:rsidR="00DA6407" w14:paraId="56FD2B2B"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5769CEF" w14:textId="77777777" w:rsidR="00DA6407" w:rsidRDefault="00000000">
            <w:r>
              <w:rPr>
                <w:rFonts w:ascii="Arial" w:eastAsia="Arial" w:hAnsi="Arial" w:cs="Arial"/>
                <w:color w:val="333333"/>
                <w:sz w:val="18"/>
                <w:szCs w:val="18"/>
              </w:rPr>
              <w:t>Team accuracy</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26F6833" w14:textId="77777777" w:rsidR="00DA6407" w:rsidRDefault="00000000">
            <w:pPr>
              <w:jc w:val="center"/>
            </w:pPr>
            <w:r>
              <w:rPr>
                <w:rFonts w:ascii="Arial" w:eastAsia="Arial" w:hAnsi="Arial" w:cs="Arial"/>
                <w:color w:val="333333"/>
                <w:sz w:val="18"/>
                <w:szCs w:val="18"/>
              </w:rPr>
              <w:t>94.84%</w:t>
            </w:r>
          </w:p>
        </w:tc>
      </w:tr>
      <w:tr w:rsidR="00DA6407" w14:paraId="225D51D6"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496DE4C4" w14:textId="77777777" w:rsidR="00DA6407" w:rsidRDefault="00000000">
            <w:r>
              <w:rPr>
                <w:rFonts w:ascii="Arial" w:eastAsia="Arial" w:hAnsi="Arial" w:cs="Arial"/>
                <w:color w:val="333333"/>
                <w:sz w:val="18"/>
                <w:szCs w:val="18"/>
              </w:rPr>
              <w:t>Oracle upper bound</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17EE0C5F" w14:textId="77777777" w:rsidR="00DA6407" w:rsidRDefault="00000000">
            <w:pPr>
              <w:jc w:val="center"/>
            </w:pPr>
            <w:r>
              <w:rPr>
                <w:rFonts w:ascii="Arial" w:eastAsia="Arial" w:hAnsi="Arial" w:cs="Arial"/>
                <w:color w:val="333333"/>
                <w:sz w:val="18"/>
                <w:szCs w:val="18"/>
              </w:rPr>
              <w:t>99.17%</w:t>
            </w:r>
          </w:p>
        </w:tc>
      </w:tr>
      <w:tr w:rsidR="00DA6407" w14:paraId="6424CF6E"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7119307E" w14:textId="77777777" w:rsidR="00DA6407" w:rsidRDefault="00000000">
            <w:r>
              <w:rPr>
                <w:rFonts w:ascii="Arial" w:eastAsia="Arial" w:hAnsi="Arial" w:cs="Arial"/>
                <w:color w:val="333333"/>
                <w:sz w:val="18"/>
                <w:szCs w:val="18"/>
              </w:rPr>
              <w:t>Deferral rate</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E6642FD" w14:textId="77777777" w:rsidR="00DA6407" w:rsidRDefault="00000000">
            <w:pPr>
              <w:jc w:val="center"/>
            </w:pPr>
            <w:r>
              <w:rPr>
                <w:rFonts w:ascii="Arial" w:eastAsia="Arial" w:hAnsi="Arial" w:cs="Arial"/>
                <w:color w:val="333333"/>
                <w:sz w:val="18"/>
                <w:szCs w:val="18"/>
              </w:rPr>
              <w:t>37.5%</w:t>
            </w:r>
          </w:p>
        </w:tc>
      </w:tr>
      <w:tr w:rsidR="00DA6407" w14:paraId="5D034A3E"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336A1F9" w14:textId="77777777" w:rsidR="00DA6407" w:rsidRDefault="00000000">
            <w:r>
              <w:rPr>
                <w:rFonts w:ascii="Arial" w:eastAsia="Arial" w:hAnsi="Arial" w:cs="Arial"/>
                <w:color w:val="333333"/>
                <w:sz w:val="18"/>
                <w:szCs w:val="18"/>
              </w:rPr>
              <w:t>Accuracy on deferred articles (expert)</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11F0C6B2" w14:textId="77777777" w:rsidR="00DA6407" w:rsidRDefault="00000000">
            <w:pPr>
              <w:jc w:val="center"/>
            </w:pPr>
            <w:r>
              <w:rPr>
                <w:rFonts w:ascii="Arial" w:eastAsia="Arial" w:hAnsi="Arial" w:cs="Arial"/>
                <w:color w:val="333333"/>
                <w:sz w:val="18"/>
                <w:szCs w:val="18"/>
              </w:rPr>
              <w:t>90.1%</w:t>
            </w:r>
          </w:p>
        </w:tc>
      </w:tr>
      <w:tr w:rsidR="00DA6407" w14:paraId="287597C3"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2441379" w14:textId="77777777" w:rsidR="00DA6407" w:rsidRDefault="00000000">
            <w:r>
              <w:rPr>
                <w:rFonts w:ascii="Arial" w:eastAsia="Arial" w:hAnsi="Arial" w:cs="Arial"/>
                <w:color w:val="333333"/>
                <w:sz w:val="18"/>
                <w:szCs w:val="18"/>
              </w:rPr>
              <w:t>Accuracy on non-deferred articles (AI)</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68ABF8D3" w14:textId="77777777" w:rsidR="00DA6407" w:rsidRDefault="00000000">
            <w:pPr>
              <w:jc w:val="center"/>
            </w:pPr>
            <w:r>
              <w:rPr>
                <w:rFonts w:ascii="Arial" w:eastAsia="Arial" w:hAnsi="Arial" w:cs="Arial"/>
                <w:color w:val="333333"/>
                <w:sz w:val="18"/>
                <w:szCs w:val="18"/>
              </w:rPr>
              <w:t>97.7%</w:t>
            </w:r>
          </w:p>
        </w:tc>
      </w:tr>
      <w:tr w:rsidR="00DA6407" w14:paraId="391FE1BB" w14:textId="77777777" w:rsidTr="00F57B32">
        <w:tblPrEx>
          <w:tblCellMar>
            <w:top w:w="0" w:type="dxa"/>
            <w:bottom w:w="0" w:type="dxa"/>
          </w:tblCellMar>
        </w:tblPrEx>
        <w:trPr>
          <w:jc w:val="center"/>
        </w:trPr>
        <w:tc>
          <w:tcPr>
            <w:tcW w:w="487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424BD6E7" w14:textId="77777777" w:rsidR="00DA6407" w:rsidRDefault="00000000">
            <w:r>
              <w:rPr>
                <w:rFonts w:ascii="Arial" w:eastAsia="Arial" w:hAnsi="Arial" w:cs="Arial"/>
                <w:color w:val="333333"/>
                <w:sz w:val="18"/>
                <w:szCs w:val="18"/>
              </w:rPr>
              <w:t>Beneficial deferrals (expert right, AI wrong)</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2802532" w14:textId="77777777" w:rsidR="00DA6407" w:rsidRDefault="00000000">
            <w:pPr>
              <w:jc w:val="center"/>
            </w:pPr>
            <w:r>
              <w:rPr>
                <w:rFonts w:ascii="Arial" w:eastAsia="Arial" w:hAnsi="Arial" w:cs="Arial"/>
                <w:color w:val="333333"/>
                <w:sz w:val="18"/>
                <w:szCs w:val="18"/>
              </w:rPr>
              <w:t>424</w:t>
            </w:r>
          </w:p>
        </w:tc>
      </w:tr>
      <w:tr w:rsidR="00DA6407" w14:paraId="2F4DBD6D" w14:textId="77777777" w:rsidTr="00F57B32">
        <w:tblPrEx>
          <w:tblCellMar>
            <w:top w:w="0" w:type="dxa"/>
            <w:bottom w:w="0" w:type="dxa"/>
          </w:tblCellMar>
        </w:tblPrEx>
        <w:trPr>
          <w:jc w:val="center"/>
        </w:trPr>
        <w:tc>
          <w:tcPr>
            <w:tcW w:w="4870" w:type="dxa"/>
            <w:tcBorders>
              <w:top w:val="none" w:sz="0" w:space="0" w:color="FFFFFF"/>
              <w:left w:val="none" w:sz="0" w:space="0" w:color="FFFFFF"/>
              <w:bottom w:val="single" w:sz="6" w:space="0" w:color="2E4A7D"/>
              <w:right w:val="none" w:sz="0" w:space="0" w:color="FFFFFF"/>
            </w:tcBorders>
            <w:tcMar>
              <w:top w:w="70" w:type="dxa"/>
              <w:left w:w="100" w:type="dxa"/>
              <w:bottom w:w="70" w:type="dxa"/>
              <w:right w:w="100" w:type="dxa"/>
            </w:tcMar>
          </w:tcPr>
          <w:p w14:paraId="1723926F" w14:textId="77777777" w:rsidR="00DA6407" w:rsidRDefault="00000000">
            <w:r>
              <w:rPr>
                <w:rFonts w:ascii="Arial" w:eastAsia="Arial" w:hAnsi="Arial" w:cs="Arial"/>
                <w:color w:val="333333"/>
                <w:sz w:val="18"/>
                <w:szCs w:val="18"/>
              </w:rPr>
              <w:t>Harmful deferrals (AI right, expert wrong)</w:t>
            </w:r>
          </w:p>
        </w:tc>
        <w:tc>
          <w:tcPr>
            <w:tcW w:w="1930" w:type="dxa"/>
            <w:tcBorders>
              <w:top w:val="none" w:sz="0" w:space="0" w:color="FFFFFF"/>
              <w:left w:val="none" w:sz="0" w:space="0" w:color="FFFFFF"/>
              <w:bottom w:val="single" w:sz="6" w:space="0" w:color="2E4A7D"/>
              <w:right w:val="none" w:sz="0" w:space="0" w:color="FFFFFF"/>
            </w:tcBorders>
            <w:tcMar>
              <w:top w:w="70" w:type="dxa"/>
              <w:left w:w="100" w:type="dxa"/>
              <w:bottom w:w="70" w:type="dxa"/>
              <w:right w:w="100" w:type="dxa"/>
            </w:tcMar>
          </w:tcPr>
          <w:p w14:paraId="4AB57B73" w14:textId="77777777" w:rsidR="00DA6407" w:rsidRDefault="00000000">
            <w:pPr>
              <w:jc w:val="center"/>
            </w:pPr>
            <w:r>
              <w:rPr>
                <w:rFonts w:ascii="Arial" w:eastAsia="Arial" w:hAnsi="Arial" w:cs="Arial"/>
                <w:color w:val="333333"/>
                <w:sz w:val="18"/>
                <w:szCs w:val="18"/>
              </w:rPr>
              <w:t>226</w:t>
            </w:r>
          </w:p>
        </w:tc>
      </w:tr>
    </w:tbl>
    <w:p w14:paraId="5468BF7C" w14:textId="77777777" w:rsidR="00DA6407" w:rsidRDefault="00000000" w:rsidP="00F57B32">
      <w:pPr>
        <w:pStyle w:val="Caption85"/>
        <w:jc w:val="center"/>
      </w:pPr>
      <w:r>
        <w:t>Table 3: Learning-to-defer results on the test set (margin = 0).</w:t>
      </w:r>
    </w:p>
    <w:p w14:paraId="5186DD6D" w14:textId="77777777" w:rsidR="00DA6407" w:rsidRDefault="00000000">
      <w:pPr>
        <w:pStyle w:val="BodyText10"/>
      </w:pPr>
      <w:r>
        <w:t>The quality of the deferral decisions themselves is evaluated directly, not only through team accuracy. Deferrals are beneficial 424 times and harmful 226 times, a net gain of 198 articles. The AI keeps the cases it is good at: its accuracy on non-deferred articles is 97.7%, well above its overall 92.24%. Table 4 shows that the deferral pattern matches the expert's competence profile: 73.4% of Business articles are deferred (the expert's strength) against only 11.2% of Sports articles (the expert's weakness). The team improves on the AI in every class except Sports, where the AI was already almost perfect and deferral can only cost accuracy; a small positive margin would reduce these harmful deferrals at the price of a lower deferral rate.</w:t>
      </w:r>
    </w:p>
    <w:tbl>
      <w:tblPr>
        <w:tblW w:w="7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0"/>
        <w:gridCol w:w="1250"/>
        <w:gridCol w:w="1250"/>
        <w:gridCol w:w="1250"/>
        <w:gridCol w:w="1700"/>
      </w:tblGrid>
      <w:tr w:rsidR="00DA6407" w14:paraId="25F08F34" w14:textId="77777777" w:rsidTr="00F57B32">
        <w:tblPrEx>
          <w:tblCellMar>
            <w:top w:w="0" w:type="dxa"/>
            <w:bottom w:w="0" w:type="dxa"/>
          </w:tblCellMar>
        </w:tblPrEx>
        <w:trPr>
          <w:tblHeader/>
          <w:jc w:val="center"/>
        </w:trPr>
        <w:tc>
          <w:tcPr>
            <w:tcW w:w="181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3DE96F39" w14:textId="77777777" w:rsidR="00DA6407" w:rsidRDefault="00000000">
            <w:r>
              <w:rPr>
                <w:rFonts w:ascii="Arial" w:eastAsia="Arial" w:hAnsi="Arial" w:cs="Arial"/>
                <w:b/>
                <w:bCs/>
                <w:color w:val="2E4A7D"/>
                <w:sz w:val="18"/>
                <w:szCs w:val="18"/>
              </w:rPr>
              <w:t>Class</w:t>
            </w:r>
          </w:p>
        </w:tc>
        <w:tc>
          <w:tcPr>
            <w:tcW w:w="125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3F5CA244" w14:textId="77777777" w:rsidR="00DA6407" w:rsidRDefault="00000000">
            <w:pPr>
              <w:jc w:val="center"/>
            </w:pPr>
            <w:r>
              <w:rPr>
                <w:rFonts w:ascii="Arial" w:eastAsia="Arial" w:hAnsi="Arial" w:cs="Arial"/>
                <w:b/>
                <w:bCs/>
                <w:color w:val="2E4A7D"/>
                <w:sz w:val="18"/>
                <w:szCs w:val="18"/>
              </w:rPr>
              <w:t>AI</w:t>
            </w:r>
          </w:p>
        </w:tc>
        <w:tc>
          <w:tcPr>
            <w:tcW w:w="125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5FC9EC42" w14:textId="77777777" w:rsidR="00DA6407" w:rsidRDefault="00000000">
            <w:pPr>
              <w:jc w:val="center"/>
            </w:pPr>
            <w:r>
              <w:rPr>
                <w:rFonts w:ascii="Arial" w:eastAsia="Arial" w:hAnsi="Arial" w:cs="Arial"/>
                <w:b/>
                <w:bCs/>
                <w:color w:val="2E4A7D"/>
                <w:sz w:val="18"/>
                <w:szCs w:val="18"/>
              </w:rPr>
              <w:t>Expert</w:t>
            </w:r>
          </w:p>
        </w:tc>
        <w:tc>
          <w:tcPr>
            <w:tcW w:w="125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60798CD9" w14:textId="77777777" w:rsidR="00DA6407" w:rsidRDefault="00000000">
            <w:pPr>
              <w:jc w:val="center"/>
            </w:pPr>
            <w:r>
              <w:rPr>
                <w:rFonts w:ascii="Arial" w:eastAsia="Arial" w:hAnsi="Arial" w:cs="Arial"/>
                <w:b/>
                <w:bCs/>
                <w:color w:val="2E4A7D"/>
                <w:sz w:val="18"/>
                <w:szCs w:val="18"/>
              </w:rPr>
              <w:t>Team</w:t>
            </w:r>
          </w:p>
        </w:tc>
        <w:tc>
          <w:tcPr>
            <w:tcW w:w="170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321D37C0" w14:textId="77777777" w:rsidR="00DA6407" w:rsidRDefault="00000000">
            <w:pPr>
              <w:jc w:val="center"/>
            </w:pPr>
            <w:r>
              <w:rPr>
                <w:rFonts w:ascii="Arial" w:eastAsia="Arial" w:hAnsi="Arial" w:cs="Arial"/>
                <w:b/>
                <w:bCs/>
                <w:color w:val="2E4A7D"/>
                <w:sz w:val="18"/>
                <w:szCs w:val="18"/>
              </w:rPr>
              <w:t>Deferral rate</w:t>
            </w:r>
          </w:p>
        </w:tc>
      </w:tr>
      <w:tr w:rsidR="00DA6407" w14:paraId="6E0DB983"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8B27830" w14:textId="77777777" w:rsidR="00DA6407" w:rsidRDefault="00000000">
            <w:r>
              <w:rPr>
                <w:rFonts w:ascii="Arial" w:eastAsia="Arial" w:hAnsi="Arial" w:cs="Arial"/>
                <w:color w:val="333333"/>
                <w:sz w:val="18"/>
                <w:szCs w:val="18"/>
              </w:rPr>
              <w:t>World</w:t>
            </w:r>
          </w:p>
        </w:tc>
        <w:tc>
          <w:tcPr>
            <w:tcW w:w="125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1B9890E" w14:textId="77777777" w:rsidR="00DA6407" w:rsidRDefault="00000000">
            <w:pPr>
              <w:jc w:val="center"/>
            </w:pPr>
            <w:r>
              <w:rPr>
                <w:rFonts w:ascii="Arial" w:eastAsia="Arial" w:hAnsi="Arial" w:cs="Arial"/>
                <w:color w:val="333333"/>
                <w:sz w:val="18"/>
                <w:szCs w:val="18"/>
              </w:rPr>
              <w:t>91.1%</w:t>
            </w:r>
          </w:p>
        </w:tc>
        <w:tc>
          <w:tcPr>
            <w:tcW w:w="125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5CB99BB" w14:textId="77777777" w:rsidR="00DA6407" w:rsidRDefault="00000000">
            <w:pPr>
              <w:jc w:val="center"/>
            </w:pPr>
            <w:r>
              <w:rPr>
                <w:rFonts w:ascii="Arial" w:eastAsia="Arial" w:hAnsi="Arial" w:cs="Arial"/>
                <w:color w:val="333333"/>
                <w:sz w:val="18"/>
                <w:szCs w:val="18"/>
              </w:rPr>
              <w:t>85.9%</w:t>
            </w:r>
          </w:p>
        </w:tc>
        <w:tc>
          <w:tcPr>
            <w:tcW w:w="125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ED564E3" w14:textId="77777777" w:rsidR="00DA6407" w:rsidRDefault="00000000">
            <w:pPr>
              <w:jc w:val="center"/>
            </w:pPr>
            <w:r>
              <w:rPr>
                <w:rFonts w:ascii="Arial" w:eastAsia="Arial" w:hAnsi="Arial" w:cs="Arial"/>
                <w:color w:val="333333"/>
                <w:sz w:val="18"/>
                <w:szCs w:val="18"/>
              </w:rPr>
              <w:t>94.0%</w:t>
            </w:r>
          </w:p>
        </w:tc>
        <w:tc>
          <w:tcPr>
            <w:tcW w:w="17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B8C3D05" w14:textId="77777777" w:rsidR="00DA6407" w:rsidRDefault="00000000">
            <w:pPr>
              <w:jc w:val="center"/>
            </w:pPr>
            <w:r>
              <w:rPr>
                <w:rFonts w:ascii="Arial" w:eastAsia="Arial" w:hAnsi="Arial" w:cs="Arial"/>
                <w:color w:val="333333"/>
                <w:sz w:val="18"/>
                <w:szCs w:val="18"/>
              </w:rPr>
              <w:t>27.7%</w:t>
            </w:r>
          </w:p>
        </w:tc>
      </w:tr>
      <w:tr w:rsidR="00DA6407" w14:paraId="72BAD7AD"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1F92C87C" w14:textId="77777777" w:rsidR="00DA6407" w:rsidRDefault="00000000">
            <w:r>
              <w:rPr>
                <w:rFonts w:ascii="Arial" w:eastAsia="Arial" w:hAnsi="Arial" w:cs="Arial"/>
                <w:color w:val="333333"/>
                <w:sz w:val="18"/>
                <w:szCs w:val="18"/>
              </w:rPr>
              <w:t>Sports</w:t>
            </w:r>
          </w:p>
        </w:tc>
        <w:tc>
          <w:tcPr>
            <w:tcW w:w="125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5D21F41E" w14:textId="77777777" w:rsidR="00DA6407" w:rsidRDefault="00000000">
            <w:pPr>
              <w:jc w:val="center"/>
            </w:pPr>
            <w:r>
              <w:rPr>
                <w:rFonts w:ascii="Arial" w:eastAsia="Arial" w:hAnsi="Arial" w:cs="Arial"/>
                <w:color w:val="333333"/>
                <w:sz w:val="18"/>
                <w:szCs w:val="18"/>
              </w:rPr>
              <w:t>98.2%</w:t>
            </w:r>
          </w:p>
        </w:tc>
        <w:tc>
          <w:tcPr>
            <w:tcW w:w="125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A9F1024" w14:textId="77777777" w:rsidR="00DA6407" w:rsidRDefault="00000000">
            <w:pPr>
              <w:jc w:val="center"/>
            </w:pPr>
            <w:r>
              <w:rPr>
                <w:rFonts w:ascii="Arial" w:eastAsia="Arial" w:hAnsi="Arial" w:cs="Arial"/>
                <w:color w:val="333333"/>
                <w:sz w:val="18"/>
                <w:szCs w:val="18"/>
              </w:rPr>
              <w:t>71.0%</w:t>
            </w:r>
          </w:p>
        </w:tc>
        <w:tc>
          <w:tcPr>
            <w:tcW w:w="125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433B2ED6" w14:textId="77777777" w:rsidR="00DA6407" w:rsidRDefault="00000000">
            <w:pPr>
              <w:jc w:val="center"/>
            </w:pPr>
            <w:r>
              <w:rPr>
                <w:rFonts w:ascii="Arial" w:eastAsia="Arial" w:hAnsi="Arial" w:cs="Arial"/>
                <w:color w:val="333333"/>
                <w:sz w:val="18"/>
                <w:szCs w:val="18"/>
              </w:rPr>
              <w:t>96.7%</w:t>
            </w:r>
          </w:p>
        </w:tc>
        <w:tc>
          <w:tcPr>
            <w:tcW w:w="170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5080A806" w14:textId="77777777" w:rsidR="00DA6407" w:rsidRDefault="00000000">
            <w:pPr>
              <w:jc w:val="center"/>
            </w:pPr>
            <w:r>
              <w:rPr>
                <w:rFonts w:ascii="Arial" w:eastAsia="Arial" w:hAnsi="Arial" w:cs="Arial"/>
                <w:color w:val="333333"/>
                <w:sz w:val="18"/>
                <w:szCs w:val="18"/>
              </w:rPr>
              <w:t>11.2%</w:t>
            </w:r>
          </w:p>
        </w:tc>
      </w:tr>
      <w:tr w:rsidR="00DA6407" w14:paraId="0BBF5863" w14:textId="77777777" w:rsidTr="00F57B32">
        <w:tblPrEx>
          <w:tblCellMar>
            <w:top w:w="0" w:type="dxa"/>
            <w:bottom w:w="0" w:type="dxa"/>
          </w:tblCellMar>
        </w:tblPrEx>
        <w:trPr>
          <w:jc w:val="center"/>
        </w:trPr>
        <w:tc>
          <w:tcPr>
            <w:tcW w:w="181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4F0FE77" w14:textId="77777777" w:rsidR="00DA6407" w:rsidRDefault="00000000">
            <w:r>
              <w:rPr>
                <w:rFonts w:ascii="Arial" w:eastAsia="Arial" w:hAnsi="Arial" w:cs="Arial"/>
                <w:color w:val="333333"/>
                <w:sz w:val="18"/>
                <w:szCs w:val="18"/>
              </w:rPr>
              <w:t>Business</w:t>
            </w:r>
          </w:p>
        </w:tc>
        <w:tc>
          <w:tcPr>
            <w:tcW w:w="125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C5EBD06" w14:textId="77777777" w:rsidR="00DA6407" w:rsidRDefault="00000000">
            <w:pPr>
              <w:jc w:val="center"/>
            </w:pPr>
            <w:r>
              <w:rPr>
                <w:rFonts w:ascii="Arial" w:eastAsia="Arial" w:hAnsi="Arial" w:cs="Arial"/>
                <w:color w:val="333333"/>
                <w:sz w:val="18"/>
                <w:szCs w:val="18"/>
              </w:rPr>
              <w:t>89.0%</w:t>
            </w:r>
          </w:p>
        </w:tc>
        <w:tc>
          <w:tcPr>
            <w:tcW w:w="125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98665F2" w14:textId="77777777" w:rsidR="00DA6407" w:rsidRDefault="00000000">
            <w:pPr>
              <w:jc w:val="center"/>
            </w:pPr>
            <w:r>
              <w:rPr>
                <w:rFonts w:ascii="Arial" w:eastAsia="Arial" w:hAnsi="Arial" w:cs="Arial"/>
                <w:color w:val="333333"/>
                <w:sz w:val="18"/>
                <w:szCs w:val="18"/>
              </w:rPr>
              <w:t>97.5%</w:t>
            </w:r>
          </w:p>
        </w:tc>
        <w:tc>
          <w:tcPr>
            <w:tcW w:w="125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401DBCA" w14:textId="77777777" w:rsidR="00DA6407" w:rsidRDefault="00000000">
            <w:pPr>
              <w:jc w:val="center"/>
            </w:pPr>
            <w:r>
              <w:rPr>
                <w:rFonts w:ascii="Arial" w:eastAsia="Arial" w:hAnsi="Arial" w:cs="Arial"/>
                <w:color w:val="333333"/>
                <w:sz w:val="18"/>
                <w:szCs w:val="18"/>
              </w:rPr>
              <w:t>95.6%</w:t>
            </w:r>
          </w:p>
        </w:tc>
        <w:tc>
          <w:tcPr>
            <w:tcW w:w="170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659BD49" w14:textId="77777777" w:rsidR="00DA6407" w:rsidRDefault="00000000">
            <w:pPr>
              <w:jc w:val="center"/>
            </w:pPr>
            <w:r>
              <w:rPr>
                <w:rFonts w:ascii="Arial" w:eastAsia="Arial" w:hAnsi="Arial" w:cs="Arial"/>
                <w:color w:val="333333"/>
                <w:sz w:val="18"/>
                <w:szCs w:val="18"/>
              </w:rPr>
              <w:t>73.4%</w:t>
            </w:r>
          </w:p>
        </w:tc>
      </w:tr>
      <w:tr w:rsidR="00DA6407" w14:paraId="08DDD4A1" w14:textId="77777777" w:rsidTr="00F57B32">
        <w:tblPrEx>
          <w:tblCellMar>
            <w:top w:w="0" w:type="dxa"/>
            <w:bottom w:w="0" w:type="dxa"/>
          </w:tblCellMar>
        </w:tblPrEx>
        <w:trPr>
          <w:jc w:val="center"/>
        </w:trPr>
        <w:tc>
          <w:tcPr>
            <w:tcW w:w="181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46AE90A7" w14:textId="77777777" w:rsidR="00DA6407" w:rsidRDefault="00000000">
            <w:r>
              <w:rPr>
                <w:rFonts w:ascii="Arial" w:eastAsia="Arial" w:hAnsi="Arial" w:cs="Arial"/>
                <w:color w:val="333333"/>
                <w:sz w:val="18"/>
                <w:szCs w:val="18"/>
              </w:rPr>
              <w:t>Sci/Tech</w:t>
            </w:r>
          </w:p>
        </w:tc>
        <w:tc>
          <w:tcPr>
            <w:tcW w:w="125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31F02378" w14:textId="77777777" w:rsidR="00DA6407" w:rsidRDefault="00000000">
            <w:pPr>
              <w:jc w:val="center"/>
            </w:pPr>
            <w:r>
              <w:rPr>
                <w:rFonts w:ascii="Arial" w:eastAsia="Arial" w:hAnsi="Arial" w:cs="Arial"/>
                <w:color w:val="333333"/>
                <w:sz w:val="18"/>
                <w:szCs w:val="18"/>
              </w:rPr>
              <w:t>90.6%</w:t>
            </w:r>
          </w:p>
        </w:tc>
        <w:tc>
          <w:tcPr>
            <w:tcW w:w="125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648D9366" w14:textId="77777777" w:rsidR="00DA6407" w:rsidRDefault="00000000">
            <w:pPr>
              <w:jc w:val="center"/>
            </w:pPr>
            <w:r>
              <w:rPr>
                <w:rFonts w:ascii="Arial" w:eastAsia="Arial" w:hAnsi="Arial" w:cs="Arial"/>
                <w:color w:val="333333"/>
                <w:sz w:val="18"/>
                <w:szCs w:val="18"/>
              </w:rPr>
              <w:t>82.6%</w:t>
            </w:r>
          </w:p>
        </w:tc>
        <w:tc>
          <w:tcPr>
            <w:tcW w:w="125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265CA3F8" w14:textId="77777777" w:rsidR="00DA6407" w:rsidRDefault="00000000">
            <w:pPr>
              <w:jc w:val="center"/>
            </w:pPr>
            <w:r>
              <w:rPr>
                <w:rFonts w:ascii="Arial" w:eastAsia="Arial" w:hAnsi="Arial" w:cs="Arial"/>
                <w:color w:val="333333"/>
                <w:sz w:val="18"/>
                <w:szCs w:val="18"/>
              </w:rPr>
              <w:t>93.1%</w:t>
            </w:r>
          </w:p>
        </w:tc>
        <w:tc>
          <w:tcPr>
            <w:tcW w:w="170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4B0B3ADC" w14:textId="77777777" w:rsidR="00DA6407" w:rsidRDefault="00000000">
            <w:pPr>
              <w:jc w:val="center"/>
            </w:pPr>
            <w:r>
              <w:rPr>
                <w:rFonts w:ascii="Arial" w:eastAsia="Arial" w:hAnsi="Arial" w:cs="Arial"/>
                <w:color w:val="333333"/>
                <w:sz w:val="18"/>
                <w:szCs w:val="18"/>
              </w:rPr>
              <w:t>37.8%</w:t>
            </w:r>
          </w:p>
        </w:tc>
      </w:tr>
    </w:tbl>
    <w:p w14:paraId="4132DBA3" w14:textId="77777777" w:rsidR="00DA6407" w:rsidRDefault="00000000" w:rsidP="00F57B32">
      <w:pPr>
        <w:pStyle w:val="Caption85"/>
        <w:jc w:val="center"/>
      </w:pPr>
      <w:r>
        <w:t>Table 4: Per-class accuracy and deferral behaviour of the team.</w:t>
      </w:r>
    </w:p>
    <w:p w14:paraId="5720CA10" w14:textId="77777777" w:rsidR="00DA6407" w:rsidRDefault="00000000">
      <w:pPr>
        <w:pStyle w:val="Heading1"/>
        <w:spacing w:before="400" w:after="140"/>
      </w:pPr>
      <w:r>
        <w:rPr>
          <w:b/>
          <w:bCs/>
          <w:color w:val="B5473C"/>
          <w:sz w:val="30"/>
          <w:szCs w:val="30"/>
        </w:rPr>
        <w:t>5</w:t>
      </w:r>
      <w:r>
        <w:rPr>
          <w:b/>
          <w:bCs/>
          <w:color w:val="2E4A7D"/>
          <w:sz w:val="30"/>
          <w:szCs w:val="30"/>
        </w:rPr>
        <w:t xml:space="preserve">   Task 4: Active learning for expert competence discovery</w:t>
      </w:r>
    </w:p>
    <w:p w14:paraId="1FF4BD74" w14:textId="10FD036E" w:rsidR="00DA6407" w:rsidRDefault="00F57B32">
      <w:pPr>
        <w:pStyle w:val="Heading2"/>
        <w:spacing w:before="240" w:after="100"/>
      </w:pPr>
      <w:r>
        <w:rPr>
          <w:rFonts w:ascii="Arial" w:eastAsia="Arial" w:hAnsi="Arial" w:cs="Arial"/>
          <w:b/>
          <w:bCs/>
          <w:color w:val="B5473C"/>
          <w:sz w:val="23"/>
          <w:szCs w:val="23"/>
        </w:rPr>
        <w:t>5.1</w:t>
      </w:r>
      <w:r>
        <w:rPr>
          <w:rFonts w:ascii="Arial" w:eastAsia="Arial" w:hAnsi="Arial" w:cs="Arial"/>
          <w:b/>
          <w:bCs/>
          <w:color w:val="2E4A7D"/>
          <w:sz w:val="23"/>
          <w:szCs w:val="23"/>
        </w:rPr>
        <w:t xml:space="preserve"> Setting</w:t>
      </w:r>
      <w:r w:rsidR="00000000">
        <w:rPr>
          <w:rFonts w:ascii="Arial" w:eastAsia="Arial" w:hAnsi="Arial" w:cs="Arial"/>
          <w:b/>
          <w:bCs/>
          <w:color w:val="2E4A7D"/>
          <w:sz w:val="23"/>
          <w:szCs w:val="23"/>
        </w:rPr>
        <w:t xml:space="preserve"> and query strategy</w:t>
      </w:r>
    </w:p>
    <w:p w14:paraId="0B14C55D" w14:textId="77777777" w:rsidR="00DA6407" w:rsidRDefault="00000000">
      <w:pPr>
        <w:pStyle w:val="BodyText10"/>
      </w:pPr>
      <w:r>
        <w:t>Task 4 removes the assumption that expert answers are freely available. The classifier may still use all training labels, but expert answers exist only for articles that are explicitly queried, and the goal is to learn a good deferral policy with as few queries as possible.</w:t>
      </w:r>
    </w:p>
    <w:p w14:paraId="36E4396F" w14:textId="77777777" w:rsidR="00DA6407" w:rsidRDefault="00000000">
      <w:pPr>
        <w:pStyle w:val="BodyText10"/>
      </w:pPr>
      <w:r>
        <w:t xml:space="preserve">The chosen strategy is </w:t>
      </w:r>
      <w:r>
        <w:rPr>
          <w:b/>
          <w:bCs/>
        </w:rPr>
        <w:t>deferral-boundary uncertainty sampling</w:t>
      </w:r>
      <w:r>
        <w:t xml:space="preserve">. Every run starts with a small seed set of 40 random articles, stratified over the four AI-predicted classes so that the first competence model </w:t>
      </w:r>
      <w:r>
        <w:lastRenderedPageBreak/>
        <w:t>sees all regions. After each round, the current competence model scores all unqueried articles, and the strategy queries the articles where the estimated expert competence and the AI confidence are closest to each other. These are exactly the articles where the defer-or-not decision is most uncertain, so a label there is most informative for the deferral policy. This is classical uncertainty sampling, but applied to the decision that actually matters (defer or not) rather than to the classification task, which is already fully supervised. Queries are made in batches: the model is retrained at each budget step (50, 100, 250, 500, 1,000, 2,000 queries) rather than after every single query, which keeps the experiment affordable.</w:t>
      </w:r>
    </w:p>
    <w:p w14:paraId="6C7C1716" w14:textId="77777777" w:rsidR="00DA6407" w:rsidRDefault="00000000">
      <w:pPr>
        <w:pStyle w:val="BodyText10"/>
      </w:pPr>
      <w:r>
        <w:t xml:space="preserve">As a control, the same protocol is run with </w:t>
      </w:r>
      <w:r>
        <w:rPr>
          <w:b/>
          <w:bCs/>
        </w:rPr>
        <w:t>random querying</w:t>
      </w:r>
      <w:r>
        <w:t>. Every configuration is repeated with five random seeds (42, 52, 62, 72, 82), and all results are reported as mean and standard deviation over these five runs.</w:t>
      </w:r>
    </w:p>
    <w:p w14:paraId="6F8E96EF" w14:textId="603BD67A" w:rsidR="00DA6407" w:rsidRDefault="00F57B32">
      <w:pPr>
        <w:pStyle w:val="Heading2"/>
        <w:spacing w:before="240" w:after="100"/>
      </w:pPr>
      <w:r>
        <w:rPr>
          <w:rFonts w:ascii="Arial" w:eastAsia="Arial" w:hAnsi="Arial" w:cs="Arial"/>
          <w:b/>
          <w:bCs/>
          <w:color w:val="B5473C"/>
          <w:sz w:val="23"/>
          <w:szCs w:val="23"/>
        </w:rPr>
        <w:t>5.2</w:t>
      </w:r>
      <w:r>
        <w:rPr>
          <w:rFonts w:ascii="Arial" w:eastAsia="Arial" w:hAnsi="Arial" w:cs="Arial"/>
          <w:b/>
          <w:bCs/>
          <w:color w:val="2E4A7D"/>
          <w:sz w:val="23"/>
          <w:szCs w:val="23"/>
        </w:rPr>
        <w:t xml:space="preserve"> Metrics</w:t>
      </w:r>
      <w:r w:rsidR="00000000">
        <w:rPr>
          <w:rFonts w:ascii="Arial" w:eastAsia="Arial" w:hAnsi="Arial" w:cs="Arial"/>
          <w:b/>
          <w:bCs/>
          <w:color w:val="2E4A7D"/>
          <w:sz w:val="23"/>
          <w:szCs w:val="23"/>
        </w:rPr>
        <w:t xml:space="preserve"> and results</w:t>
      </w:r>
    </w:p>
    <w:p w14:paraId="4C41370D" w14:textId="77777777" w:rsidR="00DA6407" w:rsidRDefault="00000000">
      <w:pPr>
        <w:pStyle w:val="BodyText10"/>
      </w:pPr>
      <w:r>
        <w:t>Three kinds of metrics are reported. Team accuracy measures the final goal. ROC-AUC and the Brier score of the competence model on the test set measure how well expert competence itself has been learned (discrimination and calibration). The beneficial-deferral rate measures what fraction of deferrals actually help.</w:t>
      </w:r>
    </w:p>
    <w:tbl>
      <w:tblPr>
        <w:tblW w:w="7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930"/>
        <w:gridCol w:w="1930"/>
        <w:gridCol w:w="1420"/>
        <w:gridCol w:w="1420"/>
      </w:tblGrid>
      <w:tr w:rsidR="00DA6407" w14:paraId="461B21E4" w14:textId="77777777" w:rsidTr="00F57B32">
        <w:tblPrEx>
          <w:tblCellMar>
            <w:top w:w="0" w:type="dxa"/>
            <w:bottom w:w="0" w:type="dxa"/>
          </w:tblCellMar>
        </w:tblPrEx>
        <w:trPr>
          <w:tblHeader/>
          <w:jc w:val="center"/>
        </w:trPr>
        <w:tc>
          <w:tcPr>
            <w:tcW w:w="108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7CE9BAAC" w14:textId="77777777" w:rsidR="00DA6407" w:rsidRDefault="00000000">
            <w:r>
              <w:rPr>
                <w:rFonts w:ascii="Arial" w:eastAsia="Arial" w:hAnsi="Arial" w:cs="Arial"/>
                <w:b/>
                <w:bCs/>
                <w:color w:val="2E4A7D"/>
                <w:sz w:val="18"/>
                <w:szCs w:val="18"/>
              </w:rPr>
              <w:t>Budget</w:t>
            </w:r>
          </w:p>
        </w:tc>
        <w:tc>
          <w:tcPr>
            <w:tcW w:w="193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2DAB473B" w14:textId="77777777" w:rsidR="00DA6407" w:rsidRDefault="00000000">
            <w:pPr>
              <w:jc w:val="center"/>
            </w:pPr>
            <w:r>
              <w:rPr>
                <w:rFonts w:ascii="Arial" w:eastAsia="Arial" w:hAnsi="Arial" w:cs="Arial"/>
                <w:b/>
                <w:bCs/>
                <w:color w:val="2E4A7D"/>
                <w:sz w:val="18"/>
                <w:szCs w:val="18"/>
              </w:rPr>
              <w:t>Random: team acc.</w:t>
            </w:r>
          </w:p>
        </w:tc>
        <w:tc>
          <w:tcPr>
            <w:tcW w:w="193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1ED867E5" w14:textId="77777777" w:rsidR="00DA6407" w:rsidRDefault="00000000">
            <w:pPr>
              <w:jc w:val="center"/>
            </w:pPr>
            <w:r>
              <w:rPr>
                <w:rFonts w:ascii="Arial" w:eastAsia="Arial" w:hAnsi="Arial" w:cs="Arial"/>
                <w:b/>
                <w:bCs/>
                <w:color w:val="2E4A7D"/>
                <w:sz w:val="18"/>
                <w:szCs w:val="18"/>
              </w:rPr>
              <w:t>Active: team acc.</w:t>
            </w:r>
          </w:p>
        </w:tc>
        <w:tc>
          <w:tcPr>
            <w:tcW w:w="142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6F167E47" w14:textId="77777777" w:rsidR="00DA6407" w:rsidRDefault="00000000">
            <w:pPr>
              <w:jc w:val="center"/>
            </w:pPr>
            <w:r>
              <w:rPr>
                <w:rFonts w:ascii="Arial" w:eastAsia="Arial" w:hAnsi="Arial" w:cs="Arial"/>
                <w:b/>
                <w:bCs/>
                <w:color w:val="2E4A7D"/>
                <w:sz w:val="18"/>
                <w:szCs w:val="18"/>
              </w:rPr>
              <w:t>Random: AUC</w:t>
            </w:r>
          </w:p>
        </w:tc>
        <w:tc>
          <w:tcPr>
            <w:tcW w:w="1420" w:type="dxa"/>
            <w:tcBorders>
              <w:top w:val="single" w:sz="6" w:space="0" w:color="2E4A7D"/>
              <w:left w:val="none" w:sz="0" w:space="0" w:color="FFFFFF"/>
              <w:bottom w:val="single" w:sz="6" w:space="0" w:color="2E4A7D"/>
              <w:right w:val="none" w:sz="0" w:space="0" w:color="FFFFFF"/>
            </w:tcBorders>
            <w:shd w:val="clear" w:color="auto" w:fill="EAEFF8"/>
            <w:tcMar>
              <w:top w:w="70" w:type="dxa"/>
              <w:left w:w="100" w:type="dxa"/>
              <w:bottom w:w="70" w:type="dxa"/>
              <w:right w:w="100" w:type="dxa"/>
            </w:tcMar>
          </w:tcPr>
          <w:p w14:paraId="4CF74B93" w14:textId="77777777" w:rsidR="00DA6407" w:rsidRDefault="00000000">
            <w:pPr>
              <w:jc w:val="center"/>
            </w:pPr>
            <w:r>
              <w:rPr>
                <w:rFonts w:ascii="Arial" w:eastAsia="Arial" w:hAnsi="Arial" w:cs="Arial"/>
                <w:b/>
                <w:bCs/>
                <w:color w:val="2E4A7D"/>
                <w:sz w:val="18"/>
                <w:szCs w:val="18"/>
              </w:rPr>
              <w:t>Active: AUC</w:t>
            </w:r>
          </w:p>
        </w:tc>
      </w:tr>
      <w:tr w:rsidR="00DA6407" w14:paraId="4AAA11B3" w14:textId="77777777" w:rsidTr="00F57B32">
        <w:tblPrEx>
          <w:tblCellMar>
            <w:top w:w="0" w:type="dxa"/>
            <w:bottom w:w="0" w:type="dxa"/>
          </w:tblCellMar>
        </w:tblPrEx>
        <w:trPr>
          <w:jc w:val="center"/>
        </w:trPr>
        <w:tc>
          <w:tcPr>
            <w:tcW w:w="108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9EFF95A" w14:textId="77777777" w:rsidR="00DA6407" w:rsidRDefault="00000000">
            <w:r>
              <w:rPr>
                <w:rFonts w:ascii="Arial" w:eastAsia="Arial" w:hAnsi="Arial" w:cs="Arial"/>
                <w:color w:val="333333"/>
                <w:sz w:val="18"/>
                <w:szCs w:val="18"/>
              </w:rPr>
              <w:t>50</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63DBD26" w14:textId="77777777" w:rsidR="00DA6407" w:rsidRDefault="00000000">
            <w:pPr>
              <w:jc w:val="center"/>
            </w:pPr>
            <w:r>
              <w:rPr>
                <w:rFonts w:ascii="Arial" w:eastAsia="Arial" w:hAnsi="Arial" w:cs="Arial"/>
                <w:color w:val="333333"/>
                <w:sz w:val="18"/>
                <w:szCs w:val="18"/>
              </w:rPr>
              <w:t>94.23% ± 0.52</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298E3146" w14:textId="77777777" w:rsidR="00DA6407" w:rsidRDefault="00000000">
            <w:pPr>
              <w:jc w:val="center"/>
            </w:pPr>
            <w:r>
              <w:rPr>
                <w:rFonts w:ascii="Arial" w:eastAsia="Arial" w:hAnsi="Arial" w:cs="Arial"/>
                <w:color w:val="333333"/>
                <w:sz w:val="18"/>
                <w:szCs w:val="18"/>
              </w:rPr>
              <w:t>94.66% ± 0.29</w:t>
            </w:r>
          </w:p>
        </w:tc>
        <w:tc>
          <w:tcPr>
            <w:tcW w:w="142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F05156F" w14:textId="77777777" w:rsidR="00DA6407" w:rsidRDefault="00000000">
            <w:pPr>
              <w:jc w:val="center"/>
            </w:pPr>
            <w:r>
              <w:rPr>
                <w:rFonts w:ascii="Arial" w:eastAsia="Arial" w:hAnsi="Arial" w:cs="Arial"/>
                <w:color w:val="333333"/>
                <w:sz w:val="18"/>
                <w:szCs w:val="18"/>
              </w:rPr>
              <w:t>0.626</w:t>
            </w:r>
          </w:p>
        </w:tc>
        <w:tc>
          <w:tcPr>
            <w:tcW w:w="142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11141659" w14:textId="77777777" w:rsidR="00DA6407" w:rsidRDefault="00000000">
            <w:pPr>
              <w:jc w:val="center"/>
            </w:pPr>
            <w:r>
              <w:rPr>
                <w:rFonts w:ascii="Arial" w:eastAsia="Arial" w:hAnsi="Arial" w:cs="Arial"/>
                <w:color w:val="333333"/>
                <w:sz w:val="18"/>
                <w:szCs w:val="18"/>
              </w:rPr>
              <w:t>0.639</w:t>
            </w:r>
          </w:p>
        </w:tc>
      </w:tr>
      <w:tr w:rsidR="00DA6407" w14:paraId="1950600E" w14:textId="77777777" w:rsidTr="00F57B32">
        <w:tblPrEx>
          <w:tblCellMar>
            <w:top w:w="0" w:type="dxa"/>
            <w:bottom w:w="0" w:type="dxa"/>
          </w:tblCellMar>
        </w:tblPrEx>
        <w:trPr>
          <w:jc w:val="center"/>
        </w:trPr>
        <w:tc>
          <w:tcPr>
            <w:tcW w:w="108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975D0CC" w14:textId="77777777" w:rsidR="00DA6407" w:rsidRDefault="00000000">
            <w:r>
              <w:rPr>
                <w:rFonts w:ascii="Arial" w:eastAsia="Arial" w:hAnsi="Arial" w:cs="Arial"/>
                <w:color w:val="333333"/>
                <w:sz w:val="18"/>
                <w:szCs w:val="18"/>
              </w:rPr>
              <w:t>100</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37D81AF8" w14:textId="77777777" w:rsidR="00DA6407" w:rsidRDefault="00000000">
            <w:pPr>
              <w:jc w:val="center"/>
            </w:pPr>
            <w:r>
              <w:rPr>
                <w:rFonts w:ascii="Arial" w:eastAsia="Arial" w:hAnsi="Arial" w:cs="Arial"/>
                <w:color w:val="333333"/>
                <w:sz w:val="18"/>
                <w:szCs w:val="18"/>
              </w:rPr>
              <w:t>94.49% ± 0.05</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88F757B" w14:textId="77777777" w:rsidR="00DA6407" w:rsidRDefault="00000000">
            <w:pPr>
              <w:jc w:val="center"/>
            </w:pPr>
            <w:r>
              <w:rPr>
                <w:rFonts w:ascii="Arial" w:eastAsia="Arial" w:hAnsi="Arial" w:cs="Arial"/>
                <w:color w:val="333333"/>
                <w:sz w:val="18"/>
                <w:szCs w:val="18"/>
              </w:rPr>
              <w:t>94.70% ± 0.36</w:t>
            </w:r>
          </w:p>
        </w:tc>
        <w:tc>
          <w:tcPr>
            <w:tcW w:w="142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329AE446" w14:textId="77777777" w:rsidR="00DA6407" w:rsidRDefault="00000000">
            <w:pPr>
              <w:jc w:val="center"/>
            </w:pPr>
            <w:r>
              <w:rPr>
                <w:rFonts w:ascii="Arial" w:eastAsia="Arial" w:hAnsi="Arial" w:cs="Arial"/>
                <w:color w:val="333333"/>
                <w:sz w:val="18"/>
                <w:szCs w:val="18"/>
              </w:rPr>
              <w:t>0.656</w:t>
            </w:r>
          </w:p>
        </w:tc>
        <w:tc>
          <w:tcPr>
            <w:tcW w:w="142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7B341D2E" w14:textId="77777777" w:rsidR="00DA6407" w:rsidRDefault="00000000">
            <w:pPr>
              <w:jc w:val="center"/>
            </w:pPr>
            <w:r>
              <w:rPr>
                <w:rFonts w:ascii="Arial" w:eastAsia="Arial" w:hAnsi="Arial" w:cs="Arial"/>
                <w:color w:val="333333"/>
                <w:sz w:val="18"/>
                <w:szCs w:val="18"/>
              </w:rPr>
              <w:t>0.642</w:t>
            </w:r>
          </w:p>
        </w:tc>
      </w:tr>
      <w:tr w:rsidR="00DA6407" w14:paraId="1DA1F73B" w14:textId="77777777" w:rsidTr="00F57B32">
        <w:tblPrEx>
          <w:tblCellMar>
            <w:top w:w="0" w:type="dxa"/>
            <w:bottom w:w="0" w:type="dxa"/>
          </w:tblCellMar>
        </w:tblPrEx>
        <w:trPr>
          <w:jc w:val="center"/>
        </w:trPr>
        <w:tc>
          <w:tcPr>
            <w:tcW w:w="108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B81B3C1" w14:textId="77777777" w:rsidR="00DA6407" w:rsidRDefault="00000000">
            <w:r>
              <w:rPr>
                <w:rFonts w:ascii="Arial" w:eastAsia="Arial" w:hAnsi="Arial" w:cs="Arial"/>
                <w:color w:val="333333"/>
                <w:sz w:val="18"/>
                <w:szCs w:val="18"/>
              </w:rPr>
              <w:t>250</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79D9D591" w14:textId="77777777" w:rsidR="00DA6407" w:rsidRDefault="00000000">
            <w:pPr>
              <w:jc w:val="center"/>
            </w:pPr>
            <w:r>
              <w:rPr>
                <w:rFonts w:ascii="Arial" w:eastAsia="Arial" w:hAnsi="Arial" w:cs="Arial"/>
                <w:color w:val="333333"/>
                <w:sz w:val="18"/>
                <w:szCs w:val="18"/>
              </w:rPr>
              <w:t>94.58% ± 0.12</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4E30F71" w14:textId="77777777" w:rsidR="00DA6407" w:rsidRDefault="00000000">
            <w:pPr>
              <w:jc w:val="center"/>
            </w:pPr>
            <w:r>
              <w:rPr>
                <w:rFonts w:ascii="Arial" w:eastAsia="Arial" w:hAnsi="Arial" w:cs="Arial"/>
                <w:color w:val="333333"/>
                <w:sz w:val="18"/>
                <w:szCs w:val="18"/>
              </w:rPr>
              <w:t>94.71% ± 0.33</w:t>
            </w:r>
          </w:p>
        </w:tc>
        <w:tc>
          <w:tcPr>
            <w:tcW w:w="142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5D42DF5" w14:textId="77777777" w:rsidR="00DA6407" w:rsidRDefault="00000000">
            <w:pPr>
              <w:jc w:val="center"/>
            </w:pPr>
            <w:r>
              <w:rPr>
                <w:rFonts w:ascii="Arial" w:eastAsia="Arial" w:hAnsi="Arial" w:cs="Arial"/>
                <w:color w:val="333333"/>
                <w:sz w:val="18"/>
                <w:szCs w:val="18"/>
              </w:rPr>
              <w:t>0.676</w:t>
            </w:r>
          </w:p>
        </w:tc>
        <w:tc>
          <w:tcPr>
            <w:tcW w:w="142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7F3C38E" w14:textId="77777777" w:rsidR="00DA6407" w:rsidRDefault="00000000">
            <w:pPr>
              <w:jc w:val="center"/>
            </w:pPr>
            <w:r>
              <w:rPr>
                <w:rFonts w:ascii="Arial" w:eastAsia="Arial" w:hAnsi="Arial" w:cs="Arial"/>
                <w:color w:val="333333"/>
                <w:sz w:val="18"/>
                <w:szCs w:val="18"/>
              </w:rPr>
              <w:t>0.659</w:t>
            </w:r>
          </w:p>
        </w:tc>
      </w:tr>
      <w:tr w:rsidR="00DA6407" w14:paraId="65D1D86B" w14:textId="77777777" w:rsidTr="00F57B32">
        <w:tblPrEx>
          <w:tblCellMar>
            <w:top w:w="0" w:type="dxa"/>
            <w:bottom w:w="0" w:type="dxa"/>
          </w:tblCellMar>
        </w:tblPrEx>
        <w:trPr>
          <w:jc w:val="center"/>
        </w:trPr>
        <w:tc>
          <w:tcPr>
            <w:tcW w:w="108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69964156" w14:textId="77777777" w:rsidR="00DA6407" w:rsidRDefault="00000000">
            <w:r>
              <w:rPr>
                <w:rFonts w:ascii="Arial" w:eastAsia="Arial" w:hAnsi="Arial" w:cs="Arial"/>
                <w:color w:val="333333"/>
                <w:sz w:val="18"/>
                <w:szCs w:val="18"/>
              </w:rPr>
              <w:t>500</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44557535" w14:textId="77777777" w:rsidR="00DA6407" w:rsidRDefault="00000000">
            <w:pPr>
              <w:jc w:val="center"/>
            </w:pPr>
            <w:r>
              <w:rPr>
                <w:rFonts w:ascii="Arial" w:eastAsia="Arial" w:hAnsi="Arial" w:cs="Arial"/>
                <w:color w:val="333333"/>
                <w:sz w:val="18"/>
                <w:szCs w:val="18"/>
              </w:rPr>
              <w:t>94.70% ± 0.23</w:t>
            </w:r>
          </w:p>
        </w:tc>
        <w:tc>
          <w:tcPr>
            <w:tcW w:w="193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1D7E3A7D" w14:textId="77777777" w:rsidR="00DA6407" w:rsidRDefault="00000000">
            <w:pPr>
              <w:jc w:val="center"/>
            </w:pPr>
            <w:r>
              <w:rPr>
                <w:rFonts w:ascii="Arial" w:eastAsia="Arial" w:hAnsi="Arial" w:cs="Arial"/>
                <w:color w:val="333333"/>
                <w:sz w:val="18"/>
                <w:szCs w:val="18"/>
              </w:rPr>
              <w:t>94.86% ± 0.25</w:t>
            </w:r>
          </w:p>
        </w:tc>
        <w:tc>
          <w:tcPr>
            <w:tcW w:w="142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0E9684C9" w14:textId="77777777" w:rsidR="00DA6407" w:rsidRDefault="00000000">
            <w:pPr>
              <w:jc w:val="center"/>
            </w:pPr>
            <w:r>
              <w:rPr>
                <w:rFonts w:ascii="Arial" w:eastAsia="Arial" w:hAnsi="Arial" w:cs="Arial"/>
                <w:color w:val="333333"/>
                <w:sz w:val="18"/>
                <w:szCs w:val="18"/>
              </w:rPr>
              <w:t>0.681</w:t>
            </w:r>
          </w:p>
        </w:tc>
        <w:tc>
          <w:tcPr>
            <w:tcW w:w="1420" w:type="dxa"/>
            <w:tcBorders>
              <w:top w:val="none" w:sz="0" w:space="0" w:color="FFFFFF"/>
              <w:left w:val="none" w:sz="0" w:space="0" w:color="FFFFFF"/>
              <w:bottom w:val="none" w:sz="0" w:space="0" w:color="FFFFFF"/>
              <w:right w:val="none" w:sz="0" w:space="0" w:color="FFFFFF"/>
            </w:tcBorders>
            <w:shd w:val="clear" w:color="auto" w:fill="F7F5FB"/>
            <w:tcMar>
              <w:top w:w="70" w:type="dxa"/>
              <w:left w:w="100" w:type="dxa"/>
              <w:bottom w:w="70" w:type="dxa"/>
              <w:right w:w="100" w:type="dxa"/>
            </w:tcMar>
          </w:tcPr>
          <w:p w14:paraId="3F70CF69" w14:textId="77777777" w:rsidR="00DA6407" w:rsidRDefault="00000000">
            <w:pPr>
              <w:jc w:val="center"/>
            </w:pPr>
            <w:r>
              <w:rPr>
                <w:rFonts w:ascii="Arial" w:eastAsia="Arial" w:hAnsi="Arial" w:cs="Arial"/>
                <w:color w:val="333333"/>
                <w:sz w:val="18"/>
                <w:szCs w:val="18"/>
              </w:rPr>
              <w:t>0.675</w:t>
            </w:r>
          </w:p>
        </w:tc>
      </w:tr>
      <w:tr w:rsidR="00DA6407" w14:paraId="563B08AC" w14:textId="77777777" w:rsidTr="00F57B32">
        <w:tblPrEx>
          <w:tblCellMar>
            <w:top w:w="0" w:type="dxa"/>
            <w:bottom w:w="0" w:type="dxa"/>
          </w:tblCellMar>
        </w:tblPrEx>
        <w:trPr>
          <w:jc w:val="center"/>
        </w:trPr>
        <w:tc>
          <w:tcPr>
            <w:tcW w:w="108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E686294" w14:textId="77777777" w:rsidR="00DA6407" w:rsidRDefault="00000000">
            <w:r>
              <w:rPr>
                <w:rFonts w:ascii="Arial" w:eastAsia="Arial" w:hAnsi="Arial" w:cs="Arial"/>
                <w:color w:val="333333"/>
                <w:sz w:val="18"/>
                <w:szCs w:val="18"/>
              </w:rPr>
              <w:t>1,000</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459A9C36" w14:textId="77777777" w:rsidR="00DA6407" w:rsidRDefault="00000000">
            <w:pPr>
              <w:jc w:val="center"/>
            </w:pPr>
            <w:r>
              <w:rPr>
                <w:rFonts w:ascii="Arial" w:eastAsia="Arial" w:hAnsi="Arial" w:cs="Arial"/>
                <w:color w:val="333333"/>
                <w:sz w:val="18"/>
                <w:szCs w:val="18"/>
              </w:rPr>
              <w:t>94.87% ± 0.11</w:t>
            </w:r>
          </w:p>
        </w:tc>
        <w:tc>
          <w:tcPr>
            <w:tcW w:w="193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5767924A" w14:textId="77777777" w:rsidR="00DA6407" w:rsidRDefault="00000000">
            <w:pPr>
              <w:jc w:val="center"/>
            </w:pPr>
            <w:r>
              <w:rPr>
                <w:rFonts w:ascii="Arial" w:eastAsia="Arial" w:hAnsi="Arial" w:cs="Arial"/>
                <w:color w:val="333333"/>
                <w:sz w:val="18"/>
                <w:szCs w:val="18"/>
              </w:rPr>
              <w:t>94.96% ± 0.17</w:t>
            </w:r>
          </w:p>
        </w:tc>
        <w:tc>
          <w:tcPr>
            <w:tcW w:w="142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3B641672" w14:textId="77777777" w:rsidR="00DA6407" w:rsidRDefault="00000000">
            <w:pPr>
              <w:jc w:val="center"/>
            </w:pPr>
            <w:r>
              <w:rPr>
                <w:rFonts w:ascii="Arial" w:eastAsia="Arial" w:hAnsi="Arial" w:cs="Arial"/>
                <w:color w:val="333333"/>
                <w:sz w:val="18"/>
                <w:szCs w:val="18"/>
              </w:rPr>
              <w:t>0.681</w:t>
            </w:r>
          </w:p>
        </w:tc>
        <w:tc>
          <w:tcPr>
            <w:tcW w:w="1420" w:type="dxa"/>
            <w:tcBorders>
              <w:top w:val="none" w:sz="0" w:space="0" w:color="FFFFFF"/>
              <w:left w:val="none" w:sz="0" w:space="0" w:color="FFFFFF"/>
              <w:bottom w:val="none" w:sz="0" w:space="0" w:color="FFFFFF"/>
              <w:right w:val="none" w:sz="0" w:space="0" w:color="FFFFFF"/>
            </w:tcBorders>
            <w:tcMar>
              <w:top w:w="70" w:type="dxa"/>
              <w:left w:w="100" w:type="dxa"/>
              <w:bottom w:w="70" w:type="dxa"/>
              <w:right w:w="100" w:type="dxa"/>
            </w:tcMar>
          </w:tcPr>
          <w:p w14:paraId="09BDED08" w14:textId="77777777" w:rsidR="00DA6407" w:rsidRDefault="00000000">
            <w:pPr>
              <w:jc w:val="center"/>
            </w:pPr>
            <w:r>
              <w:rPr>
                <w:rFonts w:ascii="Arial" w:eastAsia="Arial" w:hAnsi="Arial" w:cs="Arial"/>
                <w:color w:val="333333"/>
                <w:sz w:val="18"/>
                <w:szCs w:val="18"/>
              </w:rPr>
              <w:t>0.678</w:t>
            </w:r>
          </w:p>
        </w:tc>
      </w:tr>
      <w:tr w:rsidR="00DA6407" w14:paraId="6B0CABF7" w14:textId="77777777" w:rsidTr="00F57B32">
        <w:tblPrEx>
          <w:tblCellMar>
            <w:top w:w="0" w:type="dxa"/>
            <w:bottom w:w="0" w:type="dxa"/>
          </w:tblCellMar>
        </w:tblPrEx>
        <w:trPr>
          <w:jc w:val="center"/>
        </w:trPr>
        <w:tc>
          <w:tcPr>
            <w:tcW w:w="108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31C8943D" w14:textId="77777777" w:rsidR="00DA6407" w:rsidRDefault="00000000">
            <w:r>
              <w:rPr>
                <w:rFonts w:ascii="Arial" w:eastAsia="Arial" w:hAnsi="Arial" w:cs="Arial"/>
                <w:color w:val="333333"/>
                <w:sz w:val="18"/>
                <w:szCs w:val="18"/>
              </w:rPr>
              <w:t>2,000</w:t>
            </w:r>
          </w:p>
        </w:tc>
        <w:tc>
          <w:tcPr>
            <w:tcW w:w="193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76EBB542" w14:textId="77777777" w:rsidR="00DA6407" w:rsidRDefault="00000000">
            <w:pPr>
              <w:jc w:val="center"/>
            </w:pPr>
            <w:r>
              <w:rPr>
                <w:rFonts w:ascii="Arial" w:eastAsia="Arial" w:hAnsi="Arial" w:cs="Arial"/>
                <w:color w:val="333333"/>
                <w:sz w:val="18"/>
                <w:szCs w:val="18"/>
              </w:rPr>
              <w:t>94.90% ± 0.07</w:t>
            </w:r>
          </w:p>
        </w:tc>
        <w:tc>
          <w:tcPr>
            <w:tcW w:w="193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4B95A1A8" w14:textId="77777777" w:rsidR="00DA6407" w:rsidRDefault="00000000">
            <w:pPr>
              <w:jc w:val="center"/>
            </w:pPr>
            <w:r>
              <w:rPr>
                <w:rFonts w:ascii="Arial" w:eastAsia="Arial" w:hAnsi="Arial" w:cs="Arial"/>
                <w:color w:val="333333"/>
                <w:sz w:val="18"/>
                <w:szCs w:val="18"/>
              </w:rPr>
              <w:t>94.97% ± 0.06</w:t>
            </w:r>
          </w:p>
        </w:tc>
        <w:tc>
          <w:tcPr>
            <w:tcW w:w="142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46678D76" w14:textId="77777777" w:rsidR="00DA6407" w:rsidRDefault="00000000">
            <w:pPr>
              <w:jc w:val="center"/>
            </w:pPr>
            <w:r>
              <w:rPr>
                <w:rFonts w:ascii="Arial" w:eastAsia="Arial" w:hAnsi="Arial" w:cs="Arial"/>
                <w:color w:val="333333"/>
                <w:sz w:val="18"/>
                <w:szCs w:val="18"/>
              </w:rPr>
              <w:t>0.682</w:t>
            </w:r>
          </w:p>
        </w:tc>
        <w:tc>
          <w:tcPr>
            <w:tcW w:w="1420" w:type="dxa"/>
            <w:tcBorders>
              <w:top w:val="none" w:sz="0" w:space="0" w:color="FFFFFF"/>
              <w:left w:val="none" w:sz="0" w:space="0" w:color="FFFFFF"/>
              <w:bottom w:val="single" w:sz="6" w:space="0" w:color="2E4A7D"/>
              <w:right w:val="none" w:sz="0" w:space="0" w:color="FFFFFF"/>
            </w:tcBorders>
            <w:shd w:val="clear" w:color="auto" w:fill="F7F5FB"/>
            <w:tcMar>
              <w:top w:w="70" w:type="dxa"/>
              <w:left w:w="100" w:type="dxa"/>
              <w:bottom w:w="70" w:type="dxa"/>
              <w:right w:w="100" w:type="dxa"/>
            </w:tcMar>
          </w:tcPr>
          <w:p w14:paraId="0DAAC322" w14:textId="77777777" w:rsidR="00DA6407" w:rsidRDefault="00000000">
            <w:pPr>
              <w:jc w:val="center"/>
            </w:pPr>
            <w:r>
              <w:rPr>
                <w:rFonts w:ascii="Arial" w:eastAsia="Arial" w:hAnsi="Arial" w:cs="Arial"/>
                <w:color w:val="333333"/>
                <w:sz w:val="18"/>
                <w:szCs w:val="18"/>
              </w:rPr>
              <w:t>0.680</w:t>
            </w:r>
          </w:p>
        </w:tc>
      </w:tr>
    </w:tbl>
    <w:p w14:paraId="602E20E8" w14:textId="77777777" w:rsidR="00DA6407" w:rsidRDefault="00000000" w:rsidP="00F57B32">
      <w:pPr>
        <w:pStyle w:val="Caption85"/>
        <w:jc w:val="center"/>
      </w:pPr>
      <w:r>
        <w:t>Table 5: Team accuracy (mean ± standard deviation over five seeds) and competence ROC-AUC for random and active querying.</w:t>
      </w:r>
    </w:p>
    <w:p w14:paraId="64B15FFC" w14:textId="77777777" w:rsidR="00DA6407" w:rsidRDefault="00000000">
      <w:pPr>
        <w:pStyle w:val="BodyText10"/>
      </w:pPr>
      <w:r>
        <w:t>Three observations stand out. First, active querying is most useful when the budget is small: with only 50 queries it already reaches 94.66% team accuracy, a level that random querying needs roughly ten times as many queries to match. It also gets there more reliably: the standard deviation at budget 50 is 0.29 points for active querying against 0.52 for random. Second, both strategies converge as the budget grows; at 2,000 queries the difference (94.97% versus 94.90%) is within one standard deviation, and both are close to the 94.84% obtained in Task 3 with expert answers for all 120,000 training articles. A budget of 2,000 queries, less than 2% of the training set, is therefore already enough. Third, the mechanisms differ: random querying learns a slightly better global competence model (higher AUC), because its samples cover the whole space, while active querying concentrates its labels near the deferral boundary. Its early advantage in team accuracy comes with a more conservative deferral rate (28.1% versus 33.1% at budget 50) and a higher beneficial-deferral rate (18.6% versus 16.5%): with few labels it defers less, but more accurately. This also shows the known limitation of uncertainty-based querying: the queried sample is not representative of the full distribution (a form of covariate shift), which is why its global AUC lags slightly even though its deferral decisions are better.</w:t>
      </w:r>
    </w:p>
    <w:p w14:paraId="03BC427B" w14:textId="77777777" w:rsidR="00DA6407" w:rsidRDefault="00000000">
      <w:pPr>
        <w:pStyle w:val="Heading1"/>
        <w:spacing w:before="400" w:after="140"/>
      </w:pPr>
      <w:r>
        <w:rPr>
          <w:b/>
          <w:bCs/>
          <w:color w:val="B5473C"/>
          <w:sz w:val="30"/>
          <w:szCs w:val="30"/>
        </w:rPr>
        <w:t>6</w:t>
      </w:r>
      <w:r>
        <w:rPr>
          <w:b/>
          <w:bCs/>
          <w:color w:val="2E4A7D"/>
          <w:sz w:val="30"/>
          <w:szCs w:val="30"/>
        </w:rPr>
        <w:t xml:space="preserve">   Task 5 (optional): Interface with a human expert</w:t>
      </w:r>
    </w:p>
    <w:p w14:paraId="684F2CCB" w14:textId="77777777" w:rsidR="00DA6407" w:rsidRDefault="00000000">
      <w:pPr>
        <w:pStyle w:val="BodyText10"/>
      </w:pPr>
      <w:r>
        <w:t xml:space="preserve">The project is delivered as a Django web application with one page per task, showing the results of this report directly from the generated result files. The optional Task 5 is implemented as an interactive page where a real user takes the role of the expert. The system presents 20 articles, one at a time, taken </w:t>
      </w:r>
      <w:r>
        <w:lastRenderedPageBreak/>
        <w:t>from the final active-learning query sequence; these are exactly the articles the query strategy considered most informative, i.e. closest to the deferral boundary. The user assigns one of the four topics through a simple form. After each answer, the page reveals the true topic, the AI's prediction and confidence, the estimated expert competence, and whether the system would have deferred this article, together with a running accuracy score. In the current version the collected answers are used for feedback and scoring; feeding them back into the competence model to close the active-learning loop with a real human is a natural extension. In addition, a classification page allows any article text to be pasted in; it shows the AI's predicted topic and confidence, the estimated expert competence, and the resulting deferral decision, demonstrating the Task 3 system live.</w:t>
      </w:r>
    </w:p>
    <w:p w14:paraId="407645DB" w14:textId="77777777" w:rsidR="00DA6407" w:rsidRDefault="00000000">
      <w:pPr>
        <w:pStyle w:val="Heading1"/>
        <w:spacing w:before="400" w:after="140"/>
      </w:pPr>
      <w:r>
        <w:rPr>
          <w:b/>
          <w:bCs/>
          <w:color w:val="B5473C"/>
          <w:sz w:val="30"/>
          <w:szCs w:val="30"/>
        </w:rPr>
        <w:t>7</w:t>
      </w:r>
      <w:r>
        <w:rPr>
          <w:b/>
          <w:bCs/>
          <w:color w:val="2E4A7D"/>
          <w:sz w:val="30"/>
          <w:szCs w:val="30"/>
        </w:rPr>
        <w:t xml:space="preserve">   Reproducibility</w:t>
      </w:r>
    </w:p>
    <w:p w14:paraId="1462C1CC" w14:textId="77777777" w:rsidR="00DA6407" w:rsidRDefault="00000000">
      <w:pPr>
        <w:pStyle w:val="BodyText10"/>
      </w:pPr>
      <w:r>
        <w:t>All results can be regenerated with the following commands, run from the repository root in this order:</w:t>
      </w:r>
    </w:p>
    <w:p w14:paraId="2BB15D6B" w14:textId="77777777" w:rsidR="00DA6407" w:rsidRDefault="00000000">
      <w:pPr>
        <w:spacing w:after="20"/>
        <w:ind w:left="360"/>
      </w:pPr>
      <w:r>
        <w:rPr>
          <w:rFonts w:ascii="Courier New" w:eastAsia="Courier New" w:hAnsi="Courier New" w:cs="Courier New"/>
          <w:color w:val="333333"/>
          <w:sz w:val="17"/>
          <w:szCs w:val="17"/>
        </w:rPr>
        <w:t xml:space="preserve">python -m </w:t>
      </w:r>
      <w:proofErr w:type="spellStart"/>
      <w:r>
        <w:rPr>
          <w:rFonts w:ascii="Courier New" w:eastAsia="Courier New" w:hAnsi="Courier New" w:cs="Courier New"/>
          <w:color w:val="333333"/>
          <w:sz w:val="17"/>
          <w:szCs w:val="17"/>
        </w:rPr>
        <w:t>learning_to_defer.services.train_baseline</w:t>
      </w:r>
      <w:proofErr w:type="spellEnd"/>
    </w:p>
    <w:p w14:paraId="4E598F16" w14:textId="77777777" w:rsidR="00DA6407" w:rsidRDefault="00000000">
      <w:pPr>
        <w:spacing w:after="20"/>
        <w:ind w:left="360"/>
      </w:pPr>
      <w:r>
        <w:rPr>
          <w:rFonts w:ascii="Courier New" w:eastAsia="Courier New" w:hAnsi="Courier New" w:cs="Courier New"/>
          <w:color w:val="333333"/>
          <w:sz w:val="17"/>
          <w:szCs w:val="17"/>
        </w:rPr>
        <w:t xml:space="preserve">python -m </w:t>
      </w:r>
      <w:proofErr w:type="spellStart"/>
      <w:r>
        <w:rPr>
          <w:rFonts w:ascii="Courier New" w:eastAsia="Courier New" w:hAnsi="Courier New" w:cs="Courier New"/>
          <w:color w:val="333333"/>
          <w:sz w:val="17"/>
          <w:szCs w:val="17"/>
        </w:rPr>
        <w:t>learning_to_defer.services.evaluate_expert</w:t>
      </w:r>
      <w:proofErr w:type="spellEnd"/>
    </w:p>
    <w:p w14:paraId="5CD32831" w14:textId="77777777" w:rsidR="00DA6407" w:rsidRDefault="00000000">
      <w:pPr>
        <w:spacing w:after="20"/>
        <w:ind w:left="360"/>
      </w:pPr>
      <w:r>
        <w:rPr>
          <w:rFonts w:ascii="Courier New" w:eastAsia="Courier New" w:hAnsi="Courier New" w:cs="Courier New"/>
          <w:color w:val="333333"/>
          <w:sz w:val="17"/>
          <w:szCs w:val="17"/>
        </w:rPr>
        <w:t xml:space="preserve">python -m </w:t>
      </w:r>
      <w:proofErr w:type="spellStart"/>
      <w:r>
        <w:rPr>
          <w:rFonts w:ascii="Courier New" w:eastAsia="Courier New" w:hAnsi="Courier New" w:cs="Courier New"/>
          <w:color w:val="333333"/>
          <w:sz w:val="17"/>
          <w:szCs w:val="17"/>
        </w:rPr>
        <w:t>learning_to_defer.services.evaluate_deferral</w:t>
      </w:r>
      <w:proofErr w:type="spellEnd"/>
    </w:p>
    <w:p w14:paraId="2BB9BA8A" w14:textId="77777777" w:rsidR="00DA6407" w:rsidRDefault="00000000">
      <w:pPr>
        <w:spacing w:after="20"/>
        <w:ind w:left="360"/>
      </w:pPr>
      <w:r>
        <w:rPr>
          <w:rFonts w:ascii="Courier New" w:eastAsia="Courier New" w:hAnsi="Courier New" w:cs="Courier New"/>
          <w:color w:val="333333"/>
          <w:sz w:val="17"/>
          <w:szCs w:val="17"/>
        </w:rPr>
        <w:t xml:space="preserve">python -m </w:t>
      </w:r>
      <w:proofErr w:type="spellStart"/>
      <w:r>
        <w:rPr>
          <w:rFonts w:ascii="Courier New" w:eastAsia="Courier New" w:hAnsi="Courier New" w:cs="Courier New"/>
          <w:color w:val="333333"/>
          <w:sz w:val="17"/>
          <w:szCs w:val="17"/>
        </w:rPr>
        <w:t>learning_to_defer.services.evaluate_active_learning</w:t>
      </w:r>
      <w:proofErr w:type="spellEnd"/>
    </w:p>
    <w:p w14:paraId="0F3618B4" w14:textId="77777777" w:rsidR="00DA6407" w:rsidRDefault="00000000">
      <w:pPr>
        <w:spacing w:after="20"/>
        <w:ind w:left="360"/>
      </w:pPr>
      <w:r>
        <w:rPr>
          <w:rFonts w:ascii="Courier New" w:eastAsia="Courier New" w:hAnsi="Courier New" w:cs="Courier New"/>
          <w:color w:val="333333"/>
          <w:sz w:val="17"/>
          <w:szCs w:val="17"/>
        </w:rPr>
        <w:t xml:space="preserve">python -m </w:t>
      </w:r>
      <w:proofErr w:type="spellStart"/>
      <w:r>
        <w:rPr>
          <w:rFonts w:ascii="Courier New" w:eastAsia="Courier New" w:hAnsi="Courier New" w:cs="Courier New"/>
          <w:color w:val="333333"/>
          <w:sz w:val="17"/>
          <w:szCs w:val="17"/>
        </w:rPr>
        <w:t>learning_to_defer.services.prepare_human_expert_pool</w:t>
      </w:r>
      <w:proofErr w:type="spellEnd"/>
    </w:p>
    <w:p w14:paraId="295E5954" w14:textId="77777777" w:rsidR="00DA6407" w:rsidRDefault="00000000">
      <w:pPr>
        <w:spacing w:after="20"/>
        <w:ind w:left="360"/>
      </w:pPr>
      <w:r>
        <w:rPr>
          <w:rFonts w:ascii="Courier New" w:eastAsia="Courier New" w:hAnsi="Courier New" w:cs="Courier New"/>
          <w:color w:val="333333"/>
          <w:sz w:val="17"/>
          <w:szCs w:val="17"/>
        </w:rPr>
        <w:t xml:space="preserve">python manage.py </w:t>
      </w:r>
      <w:proofErr w:type="spellStart"/>
      <w:r>
        <w:rPr>
          <w:rFonts w:ascii="Courier New" w:eastAsia="Courier New" w:hAnsi="Courier New" w:cs="Courier New"/>
          <w:color w:val="333333"/>
          <w:sz w:val="17"/>
          <w:szCs w:val="17"/>
        </w:rPr>
        <w:t>runserver</w:t>
      </w:r>
      <w:proofErr w:type="spellEnd"/>
    </w:p>
    <w:p w14:paraId="2395BE3D" w14:textId="77777777" w:rsidR="00DA6407" w:rsidRDefault="00DA6407">
      <w:pPr>
        <w:spacing w:after="120"/>
      </w:pPr>
    </w:p>
    <w:p w14:paraId="42AFF204" w14:textId="77777777" w:rsidR="00DA6407" w:rsidRDefault="00000000">
      <w:pPr>
        <w:pStyle w:val="BodyText10"/>
      </w:pPr>
      <w:r>
        <w:t>Each script writes its metrics to JSON files in the artifacts directory, and the web pages and this report read from those files. All random seeds are fixed, and the simulated expert is deterministic, so re-running the pipeline reproduces every number in this report.</w:t>
      </w:r>
    </w:p>
    <w:p w14:paraId="72E464B5" w14:textId="77777777" w:rsidR="00DA6407" w:rsidRDefault="00000000">
      <w:pPr>
        <w:pStyle w:val="Heading1"/>
        <w:spacing w:before="400" w:after="140"/>
      </w:pPr>
      <w:r>
        <w:rPr>
          <w:b/>
          <w:bCs/>
          <w:color w:val="B5473C"/>
          <w:sz w:val="30"/>
          <w:szCs w:val="30"/>
        </w:rPr>
        <w:t>8</w:t>
      </w:r>
      <w:r>
        <w:rPr>
          <w:b/>
          <w:bCs/>
          <w:color w:val="2E4A7D"/>
          <w:sz w:val="30"/>
          <w:szCs w:val="30"/>
        </w:rPr>
        <w:t xml:space="preserve">   Conclusion</w:t>
      </w:r>
    </w:p>
    <w:p w14:paraId="3EF86B1D" w14:textId="77777777" w:rsidR="00DA6407" w:rsidRDefault="00000000">
      <w:pPr>
        <w:pStyle w:val="BodyText10"/>
      </w:pPr>
      <w:r>
        <w:t>A simple, interpretable pipeline is enough to build an effective human-AI team on AG News. The team (94.84%) beats both the classifier alone (92.24%) and the expert alone (84.26%) by deferring mainly where the expert is strong and the classifier is weak. When expert answers must be collected through queries, uncertainty sampling at the deferral boundary reaches near-full-supervision performance with under 2% of the training set labelled, and it is clearly better than random querying when the budget is small. The main limitations are the restricted feature set of the competence model (the four AI class probabilities), the fixed margin of 0, which allows some harmful deferrals on the Sports class, and the fact that the human answers from Task 5 are not yet fed back into training. Richer competence features, a tuned deferral margin, and closing the human-in-the-loop cycle are the most promising next steps.</w:t>
      </w:r>
    </w:p>
    <w:sectPr w:rsidR="00DA640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3BDC" w14:textId="77777777" w:rsidR="00F30D6A" w:rsidRDefault="00F30D6A">
      <w:r>
        <w:separator/>
      </w:r>
    </w:p>
  </w:endnote>
  <w:endnote w:type="continuationSeparator" w:id="0">
    <w:p w14:paraId="1EE6AAD8" w14:textId="77777777" w:rsidR="00F30D6A" w:rsidRDefault="00F30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2F14" w14:textId="77777777" w:rsidR="00DA6407" w:rsidRDefault="00000000">
    <w:pPr>
      <w:pBdr>
        <w:top w:val="single" w:sz="4" w:space="0" w:color="9FB2D8"/>
      </w:pBdr>
      <w:spacing w:before="80"/>
      <w:jc w:val="center"/>
    </w:pPr>
    <w:r>
      <w:rPr>
        <w:rFonts w:ascii="Arial" w:eastAsia="Arial" w:hAnsi="Arial" w:cs="Arial"/>
        <w:color w:val="7A86A8"/>
        <w:sz w:val="16"/>
        <w:szCs w:val="16"/>
      </w:rPr>
      <w:fldChar w:fldCharType="begin"/>
    </w:r>
    <w:r>
      <w:rPr>
        <w:rFonts w:ascii="Arial" w:eastAsia="Arial" w:hAnsi="Arial" w:cs="Arial"/>
        <w:color w:val="7A86A8"/>
        <w:sz w:val="16"/>
        <w:szCs w:val="16"/>
      </w:rPr>
      <w:instrText>PAGE</w:instrText>
    </w:r>
    <w:r>
      <w:rPr>
        <w:rFonts w:ascii="Arial" w:eastAsia="Arial" w:hAnsi="Arial" w:cs="Arial"/>
        <w:color w:val="7A86A8"/>
        <w:sz w:val="16"/>
        <w:szCs w:val="16"/>
      </w:rPr>
      <w:fldChar w:fldCharType="separate"/>
    </w:r>
    <w:r w:rsidR="00F57B32">
      <w:rPr>
        <w:rFonts w:ascii="Arial" w:eastAsia="Arial" w:hAnsi="Arial" w:cs="Arial"/>
        <w:noProof/>
        <w:color w:val="7A86A8"/>
        <w:sz w:val="16"/>
        <w:szCs w:val="16"/>
      </w:rPr>
      <w:t>1</w:t>
    </w:r>
    <w:r>
      <w:rPr>
        <w:rFonts w:ascii="Arial" w:eastAsia="Arial" w:hAnsi="Arial" w:cs="Arial"/>
        <w:color w:val="7A86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3E494" w14:textId="77777777" w:rsidR="00F30D6A" w:rsidRDefault="00F30D6A">
      <w:r>
        <w:separator/>
      </w:r>
    </w:p>
  </w:footnote>
  <w:footnote w:type="continuationSeparator" w:id="0">
    <w:p w14:paraId="434F863B" w14:textId="77777777" w:rsidR="00F30D6A" w:rsidRDefault="00F30D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60A44"/>
    <w:multiLevelType w:val="hybridMultilevel"/>
    <w:tmpl w:val="A752A64C"/>
    <w:lvl w:ilvl="0" w:tplc="57F6CC70">
      <w:start w:val="1"/>
      <w:numFmt w:val="bullet"/>
      <w:lvlText w:val="●"/>
      <w:lvlJc w:val="left"/>
      <w:pPr>
        <w:ind w:left="720" w:hanging="360"/>
      </w:pPr>
    </w:lvl>
    <w:lvl w:ilvl="1" w:tplc="6E40F874">
      <w:start w:val="1"/>
      <w:numFmt w:val="bullet"/>
      <w:lvlText w:val="○"/>
      <w:lvlJc w:val="left"/>
      <w:pPr>
        <w:ind w:left="1440" w:hanging="360"/>
      </w:pPr>
    </w:lvl>
    <w:lvl w:ilvl="2" w:tplc="2BC6C3AC">
      <w:start w:val="1"/>
      <w:numFmt w:val="bullet"/>
      <w:lvlText w:val="■"/>
      <w:lvlJc w:val="left"/>
      <w:pPr>
        <w:ind w:left="2160" w:hanging="360"/>
      </w:pPr>
    </w:lvl>
    <w:lvl w:ilvl="3" w:tplc="40FC6C6A">
      <w:start w:val="1"/>
      <w:numFmt w:val="bullet"/>
      <w:lvlText w:val="●"/>
      <w:lvlJc w:val="left"/>
      <w:pPr>
        <w:ind w:left="2880" w:hanging="360"/>
      </w:pPr>
    </w:lvl>
    <w:lvl w:ilvl="4" w:tplc="B33A3856">
      <w:start w:val="1"/>
      <w:numFmt w:val="bullet"/>
      <w:lvlText w:val="○"/>
      <w:lvlJc w:val="left"/>
      <w:pPr>
        <w:ind w:left="3600" w:hanging="360"/>
      </w:pPr>
    </w:lvl>
    <w:lvl w:ilvl="5" w:tplc="C122ED6E">
      <w:start w:val="1"/>
      <w:numFmt w:val="bullet"/>
      <w:lvlText w:val="■"/>
      <w:lvlJc w:val="left"/>
      <w:pPr>
        <w:ind w:left="4320" w:hanging="360"/>
      </w:pPr>
    </w:lvl>
    <w:lvl w:ilvl="6" w:tplc="3C1EDBF0">
      <w:start w:val="1"/>
      <w:numFmt w:val="bullet"/>
      <w:lvlText w:val="●"/>
      <w:lvlJc w:val="left"/>
      <w:pPr>
        <w:ind w:left="5040" w:hanging="360"/>
      </w:pPr>
    </w:lvl>
    <w:lvl w:ilvl="7" w:tplc="477CDAE2">
      <w:start w:val="1"/>
      <w:numFmt w:val="bullet"/>
      <w:lvlText w:val="●"/>
      <w:lvlJc w:val="left"/>
      <w:pPr>
        <w:ind w:left="5760" w:hanging="360"/>
      </w:pPr>
    </w:lvl>
    <w:lvl w:ilvl="8" w:tplc="C3866D7C">
      <w:start w:val="1"/>
      <w:numFmt w:val="bullet"/>
      <w:lvlText w:val="●"/>
      <w:lvlJc w:val="left"/>
      <w:pPr>
        <w:ind w:left="6480" w:hanging="360"/>
      </w:pPr>
    </w:lvl>
  </w:abstractNum>
  <w:num w:numId="1" w16cid:durableId="10814922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407"/>
    <w:rsid w:val="006B3783"/>
    <w:rsid w:val="00DA6407"/>
    <w:rsid w:val="00F30D6A"/>
    <w:rsid w:val="00F57B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2A61"/>
  <w15:docId w15:val="{284A0A5D-5FA8-4B4C-B6E8-4A9CD1229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odyText10">
    <w:name w:val="Body Text 10"/>
    <w:pPr>
      <w:spacing w:after="160" w:line="290" w:lineRule="auto"/>
      <w:jc w:val="both"/>
    </w:pPr>
    <w:rPr>
      <w:rFonts w:ascii="Arial" w:eastAsia="Arial" w:hAnsi="Arial" w:cs="Arial"/>
      <w:color w:val="333333"/>
    </w:rPr>
  </w:style>
  <w:style w:type="paragraph" w:customStyle="1" w:styleId="Caption85">
    <w:name w:val="Caption 8.5"/>
    <w:pPr>
      <w:spacing w:before="80" w:after="240"/>
    </w:pPr>
    <w:rPr>
      <w:rFonts w:ascii="Arial" w:eastAsia="Arial" w:hAnsi="Arial" w:cs="Arial"/>
      <w:i/>
      <w:iCs/>
      <w:color w:val="7A86A8"/>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2117</Words>
  <Characters>12067</Characters>
  <Application>Microsoft Office Word</Application>
  <DocSecurity>0</DocSecurity>
  <Lines>100</Lines>
  <Paragraphs>28</Paragraphs>
  <ScaleCrop>false</ScaleCrop>
  <Company/>
  <LinksUpToDate>false</LinksUpToDate>
  <CharactersWithSpaces>14156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Amritha .</cp:lastModifiedBy>
  <cp:revision>2</cp:revision>
  <dcterms:created xsi:type="dcterms:W3CDTF">2026-07-19T16:37:00Z</dcterms:created>
  <dcterms:modified xsi:type="dcterms:W3CDTF">2026-07-19T16:43:00Z</dcterms:modified>
</cp:coreProperties>
</file>