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376"/>
          <w:sz w:val="52"/>
        </w:rPr>
        <w:t>CEREBRO X</w:t>
      </w:r>
    </w:p>
    <w:p>
      <w:pPr>
        <w:jc w:val="center"/>
      </w:pPr>
      <w:r>
        <w:rPr>
          <w:color w:val="444444"/>
          <w:sz w:val="28"/>
        </w:rPr>
        <w:t>Multimodal Fusion Evaluation &amp; Scientific Results Report</w:t>
      </w:r>
    </w:p>
    <w:p>
      <w:pPr>
        <w:pStyle w:val="Heading1"/>
        <w:spacing w:before="240"/>
      </w:pPr>
      <w:r>
        <w:t>1. Evaluation Metrics Used</w:t>
      </w:r>
    </w:p>
    <w:p>
      <w:r>
        <w:rPr>
          <w:b w:val="0"/>
          <w:i w:val="0"/>
          <w:sz w:val="22"/>
        </w:rPr>
        <w:t>The following metrics were strictly employed across all valid experiments. Hyperparameters were tuned only on the validation split, leaving the test split strictly isolated.</w:t>
      </w:r>
    </w:p>
    <w:p>
      <w:pPr>
        <w:pStyle w:val="ListBullet"/>
        <w:spacing w:after="40"/>
      </w:pPr>
      <w:r>
        <w:rPr>
          <w:b/>
        </w:rPr>
        <w:t xml:space="preserve">Accuracy: </w:t>
      </w:r>
      <w:r>
        <w:t>The standard ratio of correctly predicted samples. Due to the high class imbalance in early-stage Alzheimer's datasets (skewed toward healthy/mild classes), raw accuracy is often misleading.</w:t>
      </w:r>
    </w:p>
    <w:p>
      <w:pPr>
        <w:pStyle w:val="ListBullet"/>
        <w:spacing w:after="40"/>
      </w:pPr>
      <w:r>
        <w:rPr>
          <w:b/>
        </w:rPr>
        <w:t xml:space="preserve">Balanced Accuracy: </w:t>
      </w:r>
      <w:r>
        <w:t>The primary scientific metric used for Cerebro-X. It calculates the unweighted mean of the recalls of each class, ensuring that the model is penalized for ignoring minority classes (e.g., severe dementia).</w:t>
      </w:r>
    </w:p>
    <w:p>
      <w:pPr>
        <w:pStyle w:val="ListBullet"/>
        <w:spacing w:after="40"/>
      </w:pPr>
      <w:r>
        <w:rPr>
          <w:b/>
        </w:rPr>
        <w:t xml:space="preserve">Macro F1 Score: </w:t>
      </w:r>
      <w:r>
        <w:t>The unweighted mean of the F1 scores across all classes. F1 represents the harmonic mean of precision and recall.</w:t>
      </w:r>
    </w:p>
    <w:p>
      <w:pPr>
        <w:pStyle w:val="ListBullet"/>
        <w:spacing w:after="40"/>
      </w:pPr>
      <w:r>
        <w:rPr>
          <w:b/>
        </w:rPr>
        <w:t xml:space="preserve">Mean Absolute Error (MAE): </w:t>
      </w:r>
      <w:r>
        <w:t>Used for the regression components or continuous timeline estimation where applicable.</w:t>
      </w:r>
    </w:p>
    <w:p>
      <w:pPr>
        <w:pStyle w:val="ListBullet"/>
        <w:spacing w:after="40"/>
      </w:pPr>
      <w:r>
        <w:rPr>
          <w:b/>
        </w:rPr>
        <w:t xml:space="preserve">Leakage Prevention: </w:t>
      </w:r>
      <w:r>
        <w:t>Subject-level isolation was strictly enforced. No patient appeared simultaneously in training and test splits.</w:t>
      </w:r>
    </w:p>
    <w:p>
      <w:pPr>
        <w:pStyle w:val="Heading1"/>
        <w:spacing w:before="240"/>
      </w:pPr>
      <w:r>
        <w:t>2. Dataset Cohorts</w:t>
      </w:r>
    </w:p>
    <w:p>
      <w:r>
        <w:rPr>
          <w:b w:val="0"/>
          <w:i w:val="0"/>
          <w:sz w:val="22"/>
        </w:rPr>
        <w:t>Cerebro-X operates over three distinct modalities utilizing the following cohorts:</w:t>
      </w:r>
    </w:p>
    <w:p>
      <w:pPr>
        <w:pStyle w:val="ListBullet"/>
        <w:spacing w:after="40"/>
      </w:pPr>
      <w:r>
        <w:rPr>
          <w:b/>
        </w:rPr>
        <w:t xml:space="preserve">Clinical: </w:t>
      </w:r>
      <w:r>
        <w:t>OASIS-2 (150 subjects, 223 longitudinal pairs). Fully processed and evaluated.</w:t>
      </w:r>
    </w:p>
    <w:p>
      <w:pPr>
        <w:pStyle w:val="ListBullet"/>
        <w:spacing w:after="40"/>
      </w:pPr>
      <w:r>
        <w:rPr>
          <w:b/>
        </w:rPr>
        <w:t xml:space="preserve">EEG: </w:t>
      </w:r>
      <w:r>
        <w:t>OpenNeuro ds004504 (87 subjects). Processed and evaluated independently.</w:t>
      </w:r>
    </w:p>
    <w:p>
      <w:pPr>
        <w:pStyle w:val="ListBullet"/>
        <w:spacing w:after="40"/>
      </w:pPr>
      <w:r>
        <w:rPr>
          <w:b/>
        </w:rPr>
        <w:t xml:space="preserve">MRI: </w:t>
      </w:r>
      <w:r>
        <w:t>ADNI NIfTI dataset. Pipeline fully scaffolded and ready; execution paused pending authorized dataset mount.</w:t>
      </w:r>
    </w:p>
    <w:p>
      <w:pPr>
        <w:pStyle w:val="Heading1"/>
        <w:spacing w:before="240"/>
      </w:pPr>
      <w:r>
        <w:t>3. Modality Comparison Matrix</w:t>
      </w:r>
    </w:p>
    <w:p>
      <w:r>
        <w:rPr>
          <w:b w:val="0"/>
          <w:i w:val="0"/>
          <w:sz w:val="22"/>
        </w:rPr>
        <w:t>The ablation matrix below presents the final performance of unimodal and bimodal architectures. Modality configurations lacking a scientifically valid, patient-aligned cohort are explicitly marked as UNAVAILABLE to prevent the hallucination of synthetic multimodal datasets.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A5376"/>
          </w:tcPr>
          <w:p>
            <w:r>
              <w:rPr>
                <w:b/>
                <w:color w:val="FFFFFF"/>
              </w:rPr>
              <w:t>Exp</w:t>
            </w:r>
          </w:p>
        </w:tc>
        <w:tc>
          <w:tcPr>
            <w:tcW w:type="dxa" w:w="1337"/>
            <w:shd w:val="clear" w:color="auto" w:fill="1A5376"/>
          </w:tcPr>
          <w:p>
            <w:r>
              <w:rPr>
                <w:b/>
                <w:color w:val="FFFFFF"/>
              </w:rPr>
              <w:t>Modality</w:t>
            </w:r>
          </w:p>
        </w:tc>
        <w:tc>
          <w:tcPr>
            <w:tcW w:type="dxa" w:w="1337"/>
            <w:shd w:val="clear" w:color="auto" w:fill="1A5376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337"/>
            <w:shd w:val="clear" w:color="auto" w:fill="1A537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337"/>
            <w:shd w:val="clear" w:color="auto" w:fill="1A5376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337"/>
            <w:shd w:val="clear" w:color="auto" w:fill="1A5376"/>
          </w:tcPr>
          <w:p>
            <w:r>
              <w:rPr>
                <w:b/>
                <w:color w:val="FFFFFF"/>
              </w:rPr>
              <w:t>Balanced Acc</w:t>
            </w:r>
          </w:p>
        </w:tc>
        <w:tc>
          <w:tcPr>
            <w:tcW w:type="dxa" w:w="1337"/>
            <w:shd w:val="clear" w:color="auto" w:fill="1A5376"/>
          </w:tcPr>
          <w:p>
            <w:r>
              <w:rPr>
                <w:b/>
                <w:color w:val="FFFFFF"/>
              </w:rPr>
              <w:t>Macro F1</w:t>
            </w:r>
          </w:p>
        </w:tc>
      </w:tr>
      <w:tr>
        <w:tc>
          <w:tcPr>
            <w:tcW w:type="dxa" w:w="1337"/>
          </w:tcPr>
          <w:p>
            <w:r>
              <w:t>M1</w:t>
            </w:r>
          </w:p>
        </w:tc>
        <w:tc>
          <w:tcPr>
            <w:tcW w:type="dxa" w:w="1337"/>
          </w:tcPr>
          <w:p>
            <w:r>
              <w:t>Clinical</w:t>
            </w:r>
          </w:p>
        </w:tc>
        <w:tc>
          <w:tcPr>
            <w:tcW w:type="dxa" w:w="1337"/>
          </w:tcPr>
          <w:p>
            <w:r>
              <w:t>OASIS-2</w:t>
            </w:r>
          </w:p>
        </w:tc>
        <w:tc>
          <w:tcPr>
            <w:tcW w:type="dxa" w:w="1337"/>
            <w:shd w:val="clear" w:color="auto" w:fill="D5F5E3"/>
          </w:tcPr>
          <w:p>
            <w:r>
              <w:t>VALIDATED</w:t>
            </w:r>
          </w:p>
        </w:tc>
        <w:tc>
          <w:tcPr>
            <w:tcW w:type="dxa" w:w="1337"/>
          </w:tcPr>
          <w:p>
            <w:r>
              <w:t>75.0%</w:t>
            </w:r>
          </w:p>
        </w:tc>
        <w:tc>
          <w:tcPr>
            <w:tcW w:type="dxa" w:w="1337"/>
          </w:tcPr>
          <w:p>
            <w:r>
              <w:t>55.7%</w:t>
            </w:r>
          </w:p>
        </w:tc>
        <w:tc>
          <w:tcPr>
            <w:tcW w:type="dxa" w:w="1337"/>
          </w:tcPr>
          <w:p>
            <w:r>
              <w:t>55.1%</w:t>
            </w:r>
          </w:p>
        </w:tc>
      </w:tr>
      <w:tr>
        <w:tc>
          <w:tcPr>
            <w:tcW w:type="dxa" w:w="1337"/>
          </w:tcPr>
          <w:p>
            <w:r>
              <w:t>M2</w:t>
            </w:r>
          </w:p>
        </w:tc>
        <w:tc>
          <w:tcPr>
            <w:tcW w:type="dxa" w:w="1337"/>
          </w:tcPr>
          <w:p>
            <w:r>
              <w:t>MRI</w:t>
            </w:r>
          </w:p>
        </w:tc>
        <w:tc>
          <w:tcPr>
            <w:tcW w:type="dxa" w:w="1337"/>
          </w:tcPr>
          <w:p>
            <w:r>
              <w:t>ADNI (Pending)</w:t>
            </w:r>
          </w:p>
        </w:tc>
        <w:tc>
          <w:tcPr>
            <w:tcW w:type="dxa" w:w="1337"/>
            <w:shd w:val="clear" w:color="auto" w:fill="FADBD8"/>
          </w:tcPr>
          <w:p>
            <w:r>
              <w:t>UNAVAILABLE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N/A</w:t>
            </w:r>
          </w:p>
        </w:tc>
      </w:tr>
      <w:tr>
        <w:tc>
          <w:tcPr>
            <w:tcW w:type="dxa" w:w="1337"/>
          </w:tcPr>
          <w:p>
            <w:r>
              <w:t>M3</w:t>
            </w:r>
          </w:p>
        </w:tc>
        <w:tc>
          <w:tcPr>
            <w:tcW w:type="dxa" w:w="1337"/>
          </w:tcPr>
          <w:p>
            <w:r>
              <w:t>EEG</w:t>
            </w:r>
          </w:p>
        </w:tc>
        <w:tc>
          <w:tcPr>
            <w:tcW w:type="dxa" w:w="1337"/>
          </w:tcPr>
          <w:p>
            <w:r>
              <w:t>OpenNeuro ds004504</w:t>
            </w:r>
          </w:p>
        </w:tc>
        <w:tc>
          <w:tcPr>
            <w:tcW w:type="dxa" w:w="1337"/>
            <w:shd w:val="clear" w:color="auto" w:fill="D5F5E3"/>
          </w:tcPr>
          <w:p>
            <w:r>
              <w:t>VALIDATED</w:t>
            </w:r>
          </w:p>
        </w:tc>
        <w:tc>
          <w:tcPr>
            <w:tcW w:type="dxa" w:w="1337"/>
          </w:tcPr>
          <w:p>
            <w:r>
              <w:t>50.0%</w:t>
            </w:r>
          </w:p>
        </w:tc>
        <w:tc>
          <w:tcPr>
            <w:tcW w:type="dxa" w:w="1337"/>
          </w:tcPr>
          <w:p>
            <w:r>
              <w:t>47.8%</w:t>
            </w:r>
          </w:p>
        </w:tc>
        <w:tc>
          <w:tcPr>
            <w:tcW w:type="dxa" w:w="1337"/>
          </w:tcPr>
          <w:p>
            <w:r>
              <w:t>47.6%</w:t>
            </w:r>
          </w:p>
        </w:tc>
      </w:tr>
      <w:tr>
        <w:tc>
          <w:tcPr>
            <w:tcW w:type="dxa" w:w="1337"/>
          </w:tcPr>
          <w:p>
            <w:r>
              <w:t>M4</w:t>
            </w:r>
          </w:p>
        </w:tc>
        <w:tc>
          <w:tcPr>
            <w:tcW w:type="dxa" w:w="1337"/>
          </w:tcPr>
          <w:p>
            <w:r>
              <w:t>Clinical + MRI</w:t>
            </w:r>
          </w:p>
        </w:tc>
        <w:tc>
          <w:tcPr>
            <w:tcW w:type="dxa" w:w="1337"/>
          </w:tcPr>
          <w:p>
            <w:r>
              <w:t>OASIS-2</w:t>
            </w:r>
          </w:p>
        </w:tc>
        <w:tc>
          <w:tcPr>
            <w:tcW w:type="dxa" w:w="1337"/>
          </w:tcPr>
          <w:p>
            <w:r>
              <w:t>LEGACY</w:t>
            </w:r>
          </w:p>
        </w:tc>
        <w:tc>
          <w:tcPr>
            <w:tcW w:type="dxa" w:w="1337"/>
          </w:tcPr>
          <w:p>
            <w:r>
              <w:t>71.4%</w:t>
            </w:r>
          </w:p>
        </w:tc>
        <w:tc>
          <w:tcPr>
            <w:tcW w:type="dxa" w:w="1337"/>
          </w:tcPr>
          <w:p>
            <w:r>
              <w:t>52.9%</w:t>
            </w:r>
          </w:p>
        </w:tc>
        <w:tc>
          <w:tcPr>
            <w:tcW w:type="dxa" w:w="1337"/>
          </w:tcPr>
          <w:p>
            <w:r>
              <w:t>N/A</w:t>
            </w:r>
          </w:p>
        </w:tc>
      </w:tr>
      <w:tr>
        <w:tc>
          <w:tcPr>
            <w:tcW w:type="dxa" w:w="1337"/>
          </w:tcPr>
          <w:p>
            <w:r>
              <w:t>M5</w:t>
            </w:r>
          </w:p>
        </w:tc>
        <w:tc>
          <w:tcPr>
            <w:tcW w:type="dxa" w:w="1337"/>
          </w:tcPr>
          <w:p>
            <w:r>
              <w:t>Clinical + EEG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  <w:shd w:val="clear" w:color="auto" w:fill="FADBD8"/>
          </w:tcPr>
          <w:p>
            <w:r>
              <w:t>UNAVAILABLE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N/A</w:t>
            </w:r>
          </w:p>
        </w:tc>
      </w:tr>
      <w:tr>
        <w:tc>
          <w:tcPr>
            <w:tcW w:type="dxa" w:w="1337"/>
          </w:tcPr>
          <w:p>
            <w:r>
              <w:t>M6</w:t>
            </w:r>
          </w:p>
        </w:tc>
        <w:tc>
          <w:tcPr>
            <w:tcW w:type="dxa" w:w="1337"/>
          </w:tcPr>
          <w:p>
            <w:r>
              <w:t>MRI + EEG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  <w:shd w:val="clear" w:color="auto" w:fill="FADBD8"/>
          </w:tcPr>
          <w:p>
            <w:r>
              <w:t>UNAVAILABLE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N/A</w:t>
            </w:r>
          </w:p>
        </w:tc>
      </w:tr>
      <w:tr>
        <w:tc>
          <w:tcPr>
            <w:tcW w:type="dxa" w:w="1337"/>
          </w:tcPr>
          <w:p>
            <w:r>
              <w:t>M7</w:t>
            </w:r>
          </w:p>
        </w:tc>
        <w:tc>
          <w:tcPr>
            <w:tcW w:type="dxa" w:w="1337"/>
          </w:tcPr>
          <w:p>
            <w:r>
              <w:t>Clinical + MRI + EEG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  <w:shd w:val="clear" w:color="auto" w:fill="FADBD8"/>
          </w:tcPr>
          <w:p>
            <w:r>
              <w:t>UNAVAILABLE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N/A</w:t>
            </w:r>
          </w:p>
        </w:tc>
        <w:tc>
          <w:tcPr>
            <w:tcW w:type="dxa" w:w="1337"/>
          </w:tcPr>
          <w:p>
            <w:r>
              <w:t>N/A</w:t>
            </w:r>
          </w:p>
        </w:tc>
      </w:tr>
    </w:tbl>
    <w:p>
      <w:pPr>
        <w:pStyle w:val="Heading1"/>
        <w:spacing w:before="240"/>
      </w:pPr>
      <w:r>
        <w:t>4. Key Scientific Findings &amp; Limitations</w:t>
      </w:r>
    </w:p>
    <w:p>
      <w:pPr>
        <w:pStyle w:val="ListBullet"/>
        <w:spacing w:after="40"/>
      </w:pPr>
      <w:r>
        <w:rPr>
          <w:b/>
        </w:rPr>
        <w:t xml:space="preserve">Best Configuration: </w:t>
      </w:r>
      <w:r>
        <w:t>The purely clinical TemporalCerebroNet (M1) achieved the highest legitimate results (75.0% Accuracy, 55.7% Balanced Accuracy) without test-set leakage.</w:t>
      </w:r>
    </w:p>
    <w:p>
      <w:pPr>
        <w:pStyle w:val="ListBullet"/>
        <w:spacing w:after="40"/>
      </w:pPr>
      <w:r>
        <w:rPr>
          <w:b/>
        </w:rPr>
        <w:t xml:space="preserve">Fusion Degradation: </w:t>
      </w:r>
      <w:r>
        <w:t>The legacy fusion of Clinical and simple scalar MRI (M4) actually reduced balanced accuracy to 52.9%. This underscores the necessity of deep NIfTI volumetric embeddings over simplistic scalars.</w:t>
      </w:r>
    </w:p>
    <w:p>
      <w:pPr>
        <w:pStyle w:val="ListBullet"/>
        <w:spacing w:after="40"/>
      </w:pPr>
      <w:r>
        <w:rPr>
          <w:b/>
        </w:rPr>
        <w:t xml:space="preserve">Authenticity: </w:t>
      </w:r>
      <w:r>
        <w:t>Previous synthetic 97.5% MRI accuracies and leaked 77.8% EEG accuracies were forensically purged from the repository. The metrics provided above are authentic and reproducible.</w:t>
      </w:r>
    </w:p>
    <w:p>
      <w:pPr>
        <w:pStyle w:val="ListBullet"/>
        <w:spacing w:after="40"/>
      </w:pPr>
      <w:r>
        <w:rPr>
          <w:b/>
        </w:rPr>
        <w:t xml:space="preserve">Missing Modalities: </w:t>
      </w:r>
      <w:r>
        <w:t>Full trimodal execution (M7) requires a unified cohort containing Clinical, MRI, and EEG data for the SAME patients. The architecture scaffold exists and awaits this data.</w:t>
      </w:r>
    </w:p>
    <w:p/>
    <w:p>
      <w:r>
        <w:rPr>
          <w:b w:val="0"/>
          <w:i/>
          <w:sz w:val="18"/>
        </w:rPr>
        <w:t>Report generated automatically from verified experiment artifacts.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