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D3A83" w14:textId="77777777" w:rsidR="00C667E4" w:rsidRPr="00C667E4" w:rsidRDefault="00C667E4" w:rsidP="00C667E4">
      <w:pPr>
        <w:rPr>
          <w:b/>
          <w:bCs/>
        </w:rPr>
      </w:pPr>
      <w:r w:rsidRPr="00C667E4">
        <w:rPr>
          <w:b/>
          <w:bCs/>
        </w:rPr>
        <w:t>Introducción</w:t>
      </w:r>
    </w:p>
    <w:p w14:paraId="612A626B" w14:textId="77777777" w:rsidR="00C667E4" w:rsidRPr="00C667E4" w:rsidRDefault="00C667E4" w:rsidP="00C667E4">
      <w:r w:rsidRPr="00C667E4">
        <w:t>En un entorno empresarial cada vez más digitalizado y competitivo, la madurez de los procesos organizacionales se ha convertido en un factor determinante para la sostenibilidad, la eficiencia y, fundamentalmente, para la seguridad de la información. Las organizaciones que operan con procesos reactivos, informales o dependientes de individuos específicos no solo enfrentan ineficiencias operativas, sino que quedan expuestas a riesgos críticos que pueden comprometer su reputación, sus activos y la confianza de sus clientes. En este contexto, el modelo CMMI 2.0 (</w:t>
      </w:r>
      <w:proofErr w:type="spellStart"/>
      <w:r w:rsidRPr="00C667E4">
        <w:t>Capability</w:t>
      </w:r>
      <w:proofErr w:type="spellEnd"/>
      <w:r w:rsidRPr="00C667E4">
        <w:t xml:space="preserve"> </w:t>
      </w:r>
      <w:proofErr w:type="spellStart"/>
      <w:r w:rsidRPr="00C667E4">
        <w:t>Maturity</w:t>
      </w:r>
      <w:proofErr w:type="spellEnd"/>
      <w:r w:rsidRPr="00C667E4">
        <w:t xml:space="preserve"> Model </w:t>
      </w:r>
      <w:proofErr w:type="spellStart"/>
      <w:r w:rsidRPr="00C667E4">
        <w:t>Integration</w:t>
      </w:r>
      <w:proofErr w:type="spellEnd"/>
      <w:r w:rsidRPr="00C667E4">
        <w:t>) se erige como una hoja de ruta estructurada y probada internacionalmente para evaluar, guiar y consolidar la evolución de las capacidades organizacionales, desde prácticas impredecibles hasta un enfoque de optimización continua.</w:t>
      </w:r>
    </w:p>
    <w:p w14:paraId="320E90DE" w14:textId="20F7173A" w:rsidR="00C667E4" w:rsidRPr="00C667E4" w:rsidRDefault="00C667E4" w:rsidP="00C667E4">
      <w:r w:rsidRPr="00C667E4">
        <w:t>El presente análisis aplica este marco teórico al caso concreto de Rápido</w:t>
      </w:r>
      <w:r>
        <w:t xml:space="preserve"> </w:t>
      </w:r>
      <w:r w:rsidRPr="00C667E4">
        <w:t xml:space="preserve">Express Guatemala, </w:t>
      </w:r>
      <w:proofErr w:type="gramStart"/>
      <w:r w:rsidRPr="00C667E4">
        <w:t>S.A. ,</w:t>
      </w:r>
      <w:proofErr w:type="gramEnd"/>
      <w:r w:rsidRPr="00C667E4">
        <w:t xml:space="preserve"> una empresa de distribución y paquetería cuya operación depende críticamente de la disponibilidad, integridad y confidencialidad de sus sistemas digitales de rastreo, gestión de rutas y datos de clientes. A partir de un diagnóstico situacional que ubica a la organización en un Nivel 2 (Gestionado</w:t>
      </w:r>
      <w:proofErr w:type="gramStart"/>
      <w:r w:rsidRPr="00C667E4">
        <w:t>) ,</w:t>
      </w:r>
      <w:proofErr w:type="gramEnd"/>
      <w:r w:rsidRPr="00C667E4">
        <w:t xml:space="preserve"> este trabajo identifica las brechas fundamentales que separan a Rápido</w:t>
      </w:r>
      <w:r>
        <w:t xml:space="preserve"> </w:t>
      </w:r>
      <w:r w:rsidRPr="00C667E4">
        <w:t>Express de un enfoque proactivo y estandarizado hacia la seguridad y la calidad. Se demuestra, a lo largo del análisis, que las debilidades en materia de ciberseguridad —como accesos no autorizados, falta de respuesta a incidentes o vulnerabilidad del personal ante ataques de ingeniería social— no son fallas aisladas, sino síntomas directos de un nivel de madurez organizacional todavía incipiente.</w:t>
      </w:r>
    </w:p>
    <w:p w14:paraId="73D860FF" w14:textId="4242E1B7" w:rsidR="00C667E4" w:rsidRPr="00C667E4" w:rsidRDefault="00C667E4" w:rsidP="00C667E4">
      <w:r w:rsidRPr="00C667E4">
        <w:t>Sin embargo, alcanzar un nivel superior de madurez no es un fin en sí mismo; es el medio para construir una organización predecible, resiliente y capaz de aprender de sus propios errores. Por ello, este documento no solo diagnostica, sino que propone acciones concretas alineadas con las categorías de Habilitando (</w:t>
      </w:r>
      <w:proofErr w:type="spellStart"/>
      <w:r w:rsidRPr="00C667E4">
        <w:t>Enabling</w:t>
      </w:r>
      <w:proofErr w:type="spellEnd"/>
      <w:r w:rsidRPr="00C667E4">
        <w:t>) y Mejorando (Improving) del modelo CMMI 2.0. A través de estas dos lentes analíticas, se responderán preguntas clave: ¿cuenta Rápido</w:t>
      </w:r>
      <w:r>
        <w:t xml:space="preserve"> </w:t>
      </w:r>
      <w:r w:rsidRPr="00C667E4">
        <w:t>Express con las herramientas, la capacitación y el soporte organizacional necesarios para ejecutar sus procesos de seguridad de forma competente? ¿Existe una cultura de mejora continua que analice las fallas, extraiga aprendizajes y evite su recurrencia?</w:t>
      </w:r>
    </w:p>
    <w:p w14:paraId="4F0E1A5C" w14:textId="1AD9F490" w:rsidR="00C667E4" w:rsidRPr="00C667E4" w:rsidRDefault="00C667E4" w:rsidP="00C667E4">
      <w:r w:rsidRPr="00C667E4">
        <w:t>A partir de la integración de los marcos de CMMI, el análisis de riesgos de seguridad y una propuesta de mejora priorizada, esta introducción sienta las bases para demostrar que la seguridad de la información no es un añadido técnico, sino una consecuencia natural de la madurez organizacional. Para Rápido</w:t>
      </w:r>
      <w:r>
        <w:t xml:space="preserve"> </w:t>
      </w:r>
      <w:r w:rsidRPr="00C667E4">
        <w:t>Express, el camino desde el Nivel 2 hacia el Nivel 3 y más allá no representa solo un avance en certificaciones, sino una transformación estratégica que le permitirá operar con control, confianza y capacidad de innovación en un mercado que no perdona la improvisación.</w:t>
      </w:r>
    </w:p>
    <w:p w14:paraId="2C30F5CE" w14:textId="77777777" w:rsidR="00C667E4" w:rsidRDefault="00C667E4" w:rsidP="00C667E4">
      <w:pPr>
        <w:rPr>
          <w:b/>
          <w:bCs/>
        </w:rPr>
      </w:pPr>
    </w:p>
    <w:p w14:paraId="17906BB5" w14:textId="77777777" w:rsidR="00C667E4" w:rsidRDefault="00C667E4" w:rsidP="00C667E4">
      <w:pPr>
        <w:rPr>
          <w:b/>
          <w:bCs/>
        </w:rPr>
      </w:pPr>
    </w:p>
    <w:p w14:paraId="56B54DEE" w14:textId="77777777" w:rsidR="00C667E4" w:rsidRDefault="00C667E4" w:rsidP="00C667E4">
      <w:pPr>
        <w:rPr>
          <w:b/>
          <w:bCs/>
        </w:rPr>
      </w:pPr>
    </w:p>
    <w:p w14:paraId="047B97D4" w14:textId="77777777" w:rsidR="00C667E4" w:rsidRDefault="00C667E4" w:rsidP="00C667E4">
      <w:pPr>
        <w:rPr>
          <w:b/>
          <w:bCs/>
        </w:rPr>
        <w:sectPr w:rsidR="00C667E4" w:rsidSect="00C667E4">
          <w:pgSz w:w="12240" w:h="15840"/>
          <w:pgMar w:top="1417" w:right="1701" w:bottom="1417" w:left="1701" w:header="708" w:footer="708" w:gutter="0"/>
          <w:cols w:space="708"/>
          <w:docGrid w:linePitch="360"/>
        </w:sectPr>
      </w:pPr>
    </w:p>
    <w:p w14:paraId="79577EED" w14:textId="1A80B53B" w:rsidR="00C667E4" w:rsidRPr="00C667E4" w:rsidRDefault="00C667E4" w:rsidP="00C667E4">
      <w:pPr>
        <w:rPr>
          <w:b/>
          <w:bCs/>
        </w:rPr>
      </w:pPr>
      <w:r w:rsidRPr="00C667E4">
        <w:rPr>
          <w:b/>
          <w:bCs/>
        </w:rPr>
        <w:lastRenderedPageBreak/>
        <w:t>Habilitando (</w:t>
      </w:r>
      <w:proofErr w:type="spellStart"/>
      <w:r w:rsidRPr="00C667E4">
        <w:rPr>
          <w:b/>
          <w:bCs/>
        </w:rPr>
        <w:t>Enabling</w:t>
      </w:r>
      <w:proofErr w:type="spellEnd"/>
      <w:r w:rsidRPr="00C667E4">
        <w:rPr>
          <w:b/>
          <w:bCs/>
        </w:rPr>
        <w:t>)</w:t>
      </w:r>
    </w:p>
    <w:p w14:paraId="2CAD45CE" w14:textId="77777777" w:rsidR="00C667E4" w:rsidRDefault="00C667E4" w:rsidP="00C667E4">
      <w:r w:rsidRPr="00C667E4">
        <w:t>Pregunta guía: ¿Existen herramientas, capacitación o soporte organizacional para ejecutar los procesos de manera competente y con los recursos adecuados?</w:t>
      </w:r>
    </w:p>
    <w:tbl>
      <w:tblPr>
        <w:tblW w:w="13120" w:type="dxa"/>
        <w:tblCellMar>
          <w:left w:w="70" w:type="dxa"/>
          <w:right w:w="70" w:type="dxa"/>
        </w:tblCellMar>
        <w:tblLook w:val="04A0" w:firstRow="1" w:lastRow="0" w:firstColumn="1" w:lastColumn="0" w:noHBand="0" w:noVBand="1"/>
      </w:tblPr>
      <w:tblGrid>
        <w:gridCol w:w="1580"/>
        <w:gridCol w:w="2960"/>
        <w:gridCol w:w="2880"/>
        <w:gridCol w:w="2920"/>
        <w:gridCol w:w="2780"/>
      </w:tblGrid>
      <w:tr w:rsidR="00C667E4" w:rsidRPr="00C667E4" w14:paraId="5CE8945C" w14:textId="77777777" w:rsidTr="00C667E4">
        <w:trPr>
          <w:trHeight w:val="528"/>
        </w:trPr>
        <w:tc>
          <w:tcPr>
            <w:tcW w:w="1580" w:type="dxa"/>
            <w:tcBorders>
              <w:top w:val="single" w:sz="4" w:space="0" w:color="auto"/>
              <w:left w:val="nil"/>
              <w:bottom w:val="single" w:sz="4" w:space="0" w:color="auto"/>
              <w:right w:val="nil"/>
            </w:tcBorders>
            <w:vAlign w:val="center"/>
            <w:hideMark/>
          </w:tcPr>
          <w:p w14:paraId="415018B9" w14:textId="77777777" w:rsidR="00C667E4" w:rsidRPr="00C667E4" w:rsidRDefault="00C667E4" w:rsidP="00C667E4">
            <w:pPr>
              <w:spacing w:after="0" w:line="240" w:lineRule="auto"/>
              <w:ind w:firstLineChars="100" w:firstLine="221"/>
              <w:rPr>
                <w:rFonts w:ascii="Aptos Narrow" w:eastAsia="Times New Roman" w:hAnsi="Aptos Narrow" w:cs="Segoe UI"/>
                <w:b/>
                <w:bCs/>
                <w:color w:val="000000"/>
                <w:kern w:val="0"/>
                <w:lang w:eastAsia="es-GT"/>
                <w14:ligatures w14:val="none"/>
              </w:rPr>
            </w:pPr>
            <w:r w:rsidRPr="00C667E4">
              <w:rPr>
                <w:rFonts w:ascii="Aptos Narrow" w:eastAsia="Times New Roman" w:hAnsi="Aptos Narrow" w:cs="Segoe UI"/>
                <w:b/>
                <w:bCs/>
                <w:color w:val="000000"/>
                <w:kern w:val="0"/>
                <w:lang w:eastAsia="es-GT"/>
                <w14:ligatures w14:val="none"/>
              </w:rPr>
              <w:t>Aspecto</w:t>
            </w:r>
          </w:p>
        </w:tc>
        <w:tc>
          <w:tcPr>
            <w:tcW w:w="2960" w:type="dxa"/>
            <w:tcBorders>
              <w:top w:val="single" w:sz="4" w:space="0" w:color="auto"/>
              <w:left w:val="nil"/>
              <w:bottom w:val="single" w:sz="4" w:space="0" w:color="auto"/>
              <w:right w:val="nil"/>
            </w:tcBorders>
            <w:vAlign w:val="center"/>
            <w:hideMark/>
          </w:tcPr>
          <w:p w14:paraId="38D14E45" w14:textId="77777777" w:rsidR="00C667E4" w:rsidRPr="00C667E4" w:rsidRDefault="00C667E4" w:rsidP="00C667E4">
            <w:pPr>
              <w:spacing w:after="0" w:line="240" w:lineRule="auto"/>
              <w:ind w:firstLineChars="100" w:firstLine="221"/>
              <w:rPr>
                <w:rFonts w:ascii="Aptos Narrow" w:eastAsia="Times New Roman" w:hAnsi="Aptos Narrow" w:cs="Segoe UI"/>
                <w:b/>
                <w:bCs/>
                <w:color w:val="000000"/>
                <w:kern w:val="0"/>
                <w:lang w:eastAsia="es-GT"/>
                <w14:ligatures w14:val="none"/>
              </w:rPr>
            </w:pPr>
            <w:r w:rsidRPr="00C667E4">
              <w:rPr>
                <w:rFonts w:ascii="Aptos Narrow" w:eastAsia="Times New Roman" w:hAnsi="Aptos Narrow" w:cs="Segoe UI"/>
                <w:b/>
                <w:bCs/>
                <w:color w:val="000000"/>
                <w:kern w:val="0"/>
                <w:lang w:eastAsia="es-GT"/>
                <w14:ligatures w14:val="none"/>
              </w:rPr>
              <w:t xml:space="preserve">Situación en </w:t>
            </w:r>
            <w:proofErr w:type="spellStart"/>
            <w:r w:rsidRPr="00C667E4">
              <w:rPr>
                <w:rFonts w:ascii="Aptos Narrow" w:eastAsia="Times New Roman" w:hAnsi="Aptos Narrow" w:cs="Segoe UI"/>
                <w:b/>
                <w:bCs/>
                <w:color w:val="000000"/>
                <w:kern w:val="0"/>
                <w:lang w:eastAsia="es-GT"/>
                <w14:ligatures w14:val="none"/>
              </w:rPr>
              <w:t>RápidoExpress</w:t>
            </w:r>
            <w:proofErr w:type="spellEnd"/>
            <w:r w:rsidRPr="00C667E4">
              <w:rPr>
                <w:rFonts w:ascii="Aptos Narrow" w:eastAsia="Times New Roman" w:hAnsi="Aptos Narrow" w:cs="Segoe UI"/>
                <w:b/>
                <w:bCs/>
                <w:color w:val="000000"/>
                <w:kern w:val="0"/>
                <w:lang w:eastAsia="es-GT"/>
                <w14:ligatures w14:val="none"/>
              </w:rPr>
              <w:t xml:space="preserve"> (Nivel 2)</w:t>
            </w:r>
          </w:p>
        </w:tc>
        <w:tc>
          <w:tcPr>
            <w:tcW w:w="2880" w:type="dxa"/>
            <w:tcBorders>
              <w:top w:val="single" w:sz="4" w:space="0" w:color="auto"/>
              <w:left w:val="nil"/>
              <w:bottom w:val="single" w:sz="4" w:space="0" w:color="auto"/>
              <w:right w:val="nil"/>
            </w:tcBorders>
            <w:vAlign w:val="center"/>
            <w:hideMark/>
          </w:tcPr>
          <w:p w14:paraId="50B47778" w14:textId="77777777" w:rsidR="00C667E4" w:rsidRPr="00C667E4" w:rsidRDefault="00C667E4" w:rsidP="00C667E4">
            <w:pPr>
              <w:spacing w:after="0" w:line="240" w:lineRule="auto"/>
              <w:ind w:firstLineChars="100" w:firstLine="221"/>
              <w:rPr>
                <w:rFonts w:ascii="Aptos Narrow" w:eastAsia="Times New Roman" w:hAnsi="Aptos Narrow" w:cs="Segoe UI"/>
                <w:b/>
                <w:bCs/>
                <w:color w:val="000000"/>
                <w:kern w:val="0"/>
                <w:lang w:eastAsia="es-GT"/>
                <w14:ligatures w14:val="none"/>
              </w:rPr>
            </w:pPr>
            <w:r w:rsidRPr="00C667E4">
              <w:rPr>
                <w:rFonts w:ascii="Aptos Narrow" w:eastAsia="Times New Roman" w:hAnsi="Aptos Narrow" w:cs="Segoe UI"/>
                <w:b/>
                <w:bCs/>
                <w:color w:val="000000"/>
                <w:kern w:val="0"/>
                <w:lang w:eastAsia="es-GT"/>
                <w14:ligatures w14:val="none"/>
              </w:rPr>
              <w:t>Brecha identificada</w:t>
            </w:r>
          </w:p>
        </w:tc>
        <w:tc>
          <w:tcPr>
            <w:tcW w:w="2920" w:type="dxa"/>
            <w:tcBorders>
              <w:top w:val="single" w:sz="4" w:space="0" w:color="auto"/>
              <w:left w:val="nil"/>
              <w:bottom w:val="single" w:sz="4" w:space="0" w:color="auto"/>
              <w:right w:val="nil"/>
            </w:tcBorders>
            <w:vAlign w:val="center"/>
            <w:hideMark/>
          </w:tcPr>
          <w:p w14:paraId="36581E98" w14:textId="77777777" w:rsidR="00C667E4" w:rsidRPr="00C667E4" w:rsidRDefault="00C667E4" w:rsidP="00C667E4">
            <w:pPr>
              <w:spacing w:after="0" w:line="240" w:lineRule="auto"/>
              <w:ind w:firstLineChars="100" w:firstLine="221"/>
              <w:rPr>
                <w:rFonts w:ascii="Aptos Narrow" w:eastAsia="Times New Roman" w:hAnsi="Aptos Narrow" w:cs="Segoe UI"/>
                <w:b/>
                <w:bCs/>
                <w:color w:val="000000"/>
                <w:kern w:val="0"/>
                <w:lang w:eastAsia="es-GT"/>
                <w14:ligatures w14:val="none"/>
              </w:rPr>
            </w:pPr>
            <w:r w:rsidRPr="00C667E4">
              <w:rPr>
                <w:rFonts w:ascii="Aptos Narrow" w:eastAsia="Times New Roman" w:hAnsi="Aptos Narrow" w:cs="Segoe UI"/>
                <w:b/>
                <w:bCs/>
                <w:color w:val="000000"/>
                <w:kern w:val="0"/>
                <w:lang w:eastAsia="es-GT"/>
                <w14:ligatures w14:val="none"/>
              </w:rPr>
              <w:t>Acción propuesta para avanzar a Nivel 3</w:t>
            </w:r>
          </w:p>
        </w:tc>
        <w:tc>
          <w:tcPr>
            <w:tcW w:w="2780" w:type="dxa"/>
            <w:tcBorders>
              <w:top w:val="single" w:sz="4" w:space="0" w:color="auto"/>
              <w:left w:val="nil"/>
              <w:bottom w:val="single" w:sz="4" w:space="0" w:color="auto"/>
              <w:right w:val="nil"/>
            </w:tcBorders>
            <w:vAlign w:val="center"/>
            <w:hideMark/>
          </w:tcPr>
          <w:p w14:paraId="6D9A8B8D" w14:textId="77777777" w:rsidR="00C667E4" w:rsidRPr="00C667E4" w:rsidRDefault="00C667E4" w:rsidP="00C667E4">
            <w:pPr>
              <w:spacing w:after="0" w:line="240" w:lineRule="auto"/>
              <w:ind w:firstLineChars="100" w:firstLine="221"/>
              <w:rPr>
                <w:rFonts w:ascii="Aptos Narrow" w:eastAsia="Times New Roman" w:hAnsi="Aptos Narrow" w:cs="Segoe UI"/>
                <w:b/>
                <w:bCs/>
                <w:color w:val="000000"/>
                <w:kern w:val="0"/>
                <w:lang w:eastAsia="es-GT"/>
                <w14:ligatures w14:val="none"/>
              </w:rPr>
            </w:pPr>
            <w:r w:rsidRPr="00C667E4">
              <w:rPr>
                <w:rFonts w:ascii="Aptos Narrow" w:eastAsia="Times New Roman" w:hAnsi="Aptos Narrow" w:cs="Segoe UI"/>
                <w:b/>
                <w:bCs/>
                <w:color w:val="000000"/>
                <w:kern w:val="0"/>
                <w:lang w:eastAsia="es-GT"/>
                <w14:ligatures w14:val="none"/>
              </w:rPr>
              <w:t>Beneficio esperado</w:t>
            </w:r>
          </w:p>
        </w:tc>
      </w:tr>
      <w:tr w:rsidR="00C667E4" w:rsidRPr="00C667E4" w14:paraId="0C8A59BB" w14:textId="77777777" w:rsidTr="00C667E4">
        <w:trPr>
          <w:trHeight w:val="1584"/>
        </w:trPr>
        <w:tc>
          <w:tcPr>
            <w:tcW w:w="1580" w:type="dxa"/>
            <w:tcBorders>
              <w:top w:val="single" w:sz="4" w:space="0" w:color="auto"/>
              <w:left w:val="nil"/>
              <w:bottom w:val="nil"/>
              <w:right w:val="nil"/>
            </w:tcBorders>
            <w:vAlign w:val="center"/>
            <w:hideMark/>
          </w:tcPr>
          <w:p w14:paraId="61907C3D"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Capacitación y Habilidades</w:t>
            </w:r>
          </w:p>
        </w:tc>
        <w:tc>
          <w:tcPr>
            <w:tcW w:w="2960" w:type="dxa"/>
            <w:tcBorders>
              <w:top w:val="single" w:sz="4" w:space="0" w:color="auto"/>
              <w:left w:val="nil"/>
              <w:bottom w:val="nil"/>
              <w:right w:val="nil"/>
            </w:tcBorders>
            <w:vAlign w:val="center"/>
            <w:hideMark/>
          </w:tcPr>
          <w:p w14:paraId="7EFB22CC"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El personal (operadores, repartidores, atención al cliente) no recibe formación sistemática en ciberseguridad. Son susceptibles a phishing e ingeniería social.</w:t>
            </w:r>
          </w:p>
        </w:tc>
        <w:tc>
          <w:tcPr>
            <w:tcW w:w="2880" w:type="dxa"/>
            <w:tcBorders>
              <w:top w:val="single" w:sz="4" w:space="0" w:color="auto"/>
              <w:left w:val="nil"/>
              <w:bottom w:val="nil"/>
              <w:right w:val="nil"/>
            </w:tcBorders>
            <w:vAlign w:val="center"/>
            <w:hideMark/>
          </w:tcPr>
          <w:p w14:paraId="0372E8DE"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Falta de un programa formal y continuo de concienciación. La seguridad depende del conocimiento individual, no de una capacidad organizacional.</w:t>
            </w:r>
          </w:p>
        </w:tc>
        <w:tc>
          <w:tcPr>
            <w:tcW w:w="2920" w:type="dxa"/>
            <w:tcBorders>
              <w:top w:val="single" w:sz="4" w:space="0" w:color="auto"/>
              <w:left w:val="nil"/>
              <w:bottom w:val="nil"/>
              <w:right w:val="nil"/>
            </w:tcBorders>
            <w:vAlign w:val="center"/>
            <w:hideMark/>
          </w:tcPr>
          <w:p w14:paraId="6A5C50C2"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Desarrollar e implementar un plan de concienciación en ciberseguridad para toda la organización, con contenidos actualizados periódicamente.</w:t>
            </w:r>
          </w:p>
        </w:tc>
        <w:tc>
          <w:tcPr>
            <w:tcW w:w="2780" w:type="dxa"/>
            <w:tcBorders>
              <w:top w:val="single" w:sz="4" w:space="0" w:color="auto"/>
              <w:left w:val="nil"/>
              <w:bottom w:val="nil"/>
              <w:right w:val="nil"/>
            </w:tcBorders>
            <w:vAlign w:val="center"/>
            <w:hideMark/>
          </w:tcPr>
          <w:p w14:paraId="72930095"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Reducción de incidentes por error humano; cultura de seguridad; personal preparado para identificar y reportar amenazas.</w:t>
            </w:r>
          </w:p>
        </w:tc>
      </w:tr>
      <w:tr w:rsidR="00C667E4" w:rsidRPr="00C667E4" w14:paraId="3C3FAE13" w14:textId="77777777" w:rsidTr="00C667E4">
        <w:trPr>
          <w:trHeight w:val="1584"/>
        </w:trPr>
        <w:tc>
          <w:tcPr>
            <w:tcW w:w="1580" w:type="dxa"/>
            <w:tcBorders>
              <w:top w:val="nil"/>
              <w:left w:val="nil"/>
              <w:right w:val="nil"/>
            </w:tcBorders>
            <w:vAlign w:val="center"/>
            <w:hideMark/>
          </w:tcPr>
          <w:p w14:paraId="32A10951"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Herramientas y Recursos</w:t>
            </w:r>
          </w:p>
        </w:tc>
        <w:tc>
          <w:tcPr>
            <w:tcW w:w="2960" w:type="dxa"/>
            <w:tcBorders>
              <w:top w:val="nil"/>
              <w:left w:val="nil"/>
              <w:right w:val="nil"/>
            </w:tcBorders>
            <w:vAlign w:val="center"/>
            <w:hideMark/>
          </w:tcPr>
          <w:p w14:paraId="66EF2C9C"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No se mencionan herramientas formales de gestión. Se depende de procesos locales sin soporte tecnológico centralizado. Ausencia de herramientas de monitoreo (SIEM).</w:t>
            </w:r>
          </w:p>
        </w:tc>
        <w:tc>
          <w:tcPr>
            <w:tcW w:w="2880" w:type="dxa"/>
            <w:tcBorders>
              <w:top w:val="nil"/>
              <w:left w:val="nil"/>
              <w:right w:val="nil"/>
            </w:tcBorders>
            <w:vAlign w:val="center"/>
            <w:hideMark/>
          </w:tcPr>
          <w:p w14:paraId="008F41C1"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Inexistencia de herramientas para centralizar logs, monitorear eventos o gestionar vulnerabilidades de forma automatizada.</w:t>
            </w:r>
          </w:p>
        </w:tc>
        <w:tc>
          <w:tcPr>
            <w:tcW w:w="2920" w:type="dxa"/>
            <w:tcBorders>
              <w:top w:val="nil"/>
              <w:left w:val="nil"/>
              <w:right w:val="nil"/>
            </w:tcBorders>
            <w:vAlign w:val="center"/>
            <w:hideMark/>
          </w:tcPr>
          <w:p w14:paraId="12DA3DDE"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Implementar monitoreo y registro de eventos (SIEM básico). Establecer un inventario de activos y herramientas de escaneo de vulnerabilidades.</w:t>
            </w:r>
          </w:p>
        </w:tc>
        <w:tc>
          <w:tcPr>
            <w:tcW w:w="2780" w:type="dxa"/>
            <w:tcBorders>
              <w:top w:val="nil"/>
              <w:left w:val="nil"/>
              <w:right w:val="nil"/>
            </w:tcBorders>
            <w:vAlign w:val="center"/>
            <w:hideMark/>
          </w:tcPr>
          <w:p w14:paraId="59841C54"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Visibilidad centralizada de la infraestructura; capacidad de detectar comportamientos anómalos; base para métricas de seguridad.</w:t>
            </w:r>
          </w:p>
        </w:tc>
      </w:tr>
      <w:tr w:rsidR="00C667E4" w:rsidRPr="00C667E4" w14:paraId="1024B028" w14:textId="77777777" w:rsidTr="00C667E4">
        <w:trPr>
          <w:trHeight w:val="1584"/>
        </w:trPr>
        <w:tc>
          <w:tcPr>
            <w:tcW w:w="1580" w:type="dxa"/>
            <w:tcBorders>
              <w:top w:val="nil"/>
              <w:left w:val="nil"/>
              <w:bottom w:val="single" w:sz="4" w:space="0" w:color="auto"/>
              <w:right w:val="nil"/>
            </w:tcBorders>
            <w:vAlign w:val="center"/>
            <w:hideMark/>
          </w:tcPr>
          <w:p w14:paraId="7205F21B"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Soporte Organizacional</w:t>
            </w:r>
          </w:p>
        </w:tc>
        <w:tc>
          <w:tcPr>
            <w:tcW w:w="2960" w:type="dxa"/>
            <w:tcBorders>
              <w:top w:val="nil"/>
              <w:left w:val="nil"/>
              <w:bottom w:val="single" w:sz="4" w:space="0" w:color="auto"/>
              <w:right w:val="nil"/>
            </w:tcBorders>
            <w:vAlign w:val="center"/>
            <w:hideMark/>
          </w:tcPr>
          <w:p w14:paraId="6925E287"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Los procesos de seguridad no están estandarizados. Cada área aplica sus propias prácticas (</w:t>
            </w:r>
            <w:proofErr w:type="spellStart"/>
            <w:r w:rsidRPr="00C667E4">
              <w:rPr>
                <w:rFonts w:ascii="Aptos Narrow" w:eastAsia="Times New Roman" w:hAnsi="Aptos Narrow" w:cs="Segoe UI"/>
                <w:color w:val="000000"/>
                <w:kern w:val="0"/>
                <w:lang w:eastAsia="es-GT"/>
                <w14:ligatures w14:val="none"/>
              </w:rPr>
              <w:t>ej</w:t>
            </w:r>
            <w:proofErr w:type="spellEnd"/>
            <w:r w:rsidRPr="00C667E4">
              <w:rPr>
                <w:rFonts w:ascii="Aptos Narrow" w:eastAsia="Times New Roman" w:hAnsi="Aptos Narrow" w:cs="Segoe UI"/>
                <w:color w:val="000000"/>
                <w:kern w:val="0"/>
                <w:lang w:eastAsia="es-GT"/>
                <w14:ligatures w14:val="none"/>
              </w:rPr>
              <w:t>: un área usa contraseñas fuertes, otra comparte credenciales). No hay políticas formales de acceso.</w:t>
            </w:r>
          </w:p>
        </w:tc>
        <w:tc>
          <w:tcPr>
            <w:tcW w:w="2880" w:type="dxa"/>
            <w:tcBorders>
              <w:top w:val="nil"/>
              <w:left w:val="nil"/>
              <w:bottom w:val="single" w:sz="4" w:space="0" w:color="auto"/>
              <w:right w:val="nil"/>
            </w:tcBorders>
            <w:vAlign w:val="center"/>
            <w:hideMark/>
          </w:tcPr>
          <w:p w14:paraId="6D704475"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Falta de un marco de políticas oficial respaldado por la gerencia y aplicable a toda la empresa. No hay dueños de proceso definidos.</w:t>
            </w:r>
          </w:p>
        </w:tc>
        <w:tc>
          <w:tcPr>
            <w:tcW w:w="2920" w:type="dxa"/>
            <w:tcBorders>
              <w:top w:val="nil"/>
              <w:left w:val="nil"/>
              <w:bottom w:val="single" w:sz="4" w:space="0" w:color="auto"/>
              <w:right w:val="nil"/>
            </w:tcBorders>
            <w:vAlign w:val="center"/>
            <w:hideMark/>
          </w:tcPr>
          <w:p w14:paraId="06FF4088"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Implementar gestión formal de identidades y accesos (IAM). Documentar políticas de control de privilegios, MFA y revisión periódica de cuentas.</w:t>
            </w:r>
          </w:p>
        </w:tc>
        <w:tc>
          <w:tcPr>
            <w:tcW w:w="2780" w:type="dxa"/>
            <w:tcBorders>
              <w:top w:val="nil"/>
              <w:left w:val="nil"/>
              <w:bottom w:val="single" w:sz="4" w:space="0" w:color="auto"/>
              <w:right w:val="nil"/>
            </w:tcBorders>
            <w:vAlign w:val="center"/>
            <w:hideMark/>
          </w:tcPr>
          <w:p w14:paraId="095B56FC" w14:textId="77777777" w:rsidR="00C667E4" w:rsidRPr="00C667E4" w:rsidRDefault="00C667E4" w:rsidP="00C667E4">
            <w:pPr>
              <w:spacing w:after="0" w:line="240" w:lineRule="auto"/>
              <w:ind w:firstLineChars="100" w:firstLine="220"/>
              <w:rPr>
                <w:rFonts w:ascii="Aptos Narrow" w:eastAsia="Times New Roman" w:hAnsi="Aptos Narrow" w:cs="Segoe UI"/>
                <w:color w:val="000000"/>
                <w:kern w:val="0"/>
                <w:lang w:eastAsia="es-GT"/>
                <w14:ligatures w14:val="none"/>
              </w:rPr>
            </w:pPr>
            <w:r w:rsidRPr="00C667E4">
              <w:rPr>
                <w:rFonts w:ascii="Aptos Narrow" w:eastAsia="Times New Roman" w:hAnsi="Aptos Narrow" w:cs="Segoe UI"/>
                <w:color w:val="000000"/>
                <w:kern w:val="0"/>
                <w:lang w:eastAsia="es-GT"/>
                <w14:ligatures w14:val="none"/>
              </w:rPr>
              <w:t>Trazabilidad de acciones por usuario; reducción de accesos indebidos; cumplimiento de estándares de seguridad de la información.</w:t>
            </w:r>
          </w:p>
        </w:tc>
      </w:tr>
    </w:tbl>
    <w:p w14:paraId="44DD8BAE" w14:textId="77777777" w:rsidR="00C667E4" w:rsidRDefault="00C667E4" w:rsidP="00C667E4"/>
    <w:p w14:paraId="180AD39D" w14:textId="77777777" w:rsidR="00C667E4" w:rsidRDefault="00C667E4" w:rsidP="00C667E4"/>
    <w:p w14:paraId="4A400FDC" w14:textId="77777777" w:rsidR="00C667E4" w:rsidRDefault="00C667E4" w:rsidP="00C667E4"/>
    <w:p w14:paraId="55F2CA6B" w14:textId="77777777" w:rsidR="00C667E4" w:rsidRDefault="00C667E4" w:rsidP="00C667E4">
      <w:pPr>
        <w:rPr>
          <w:b/>
          <w:bCs/>
        </w:rPr>
      </w:pPr>
    </w:p>
    <w:p w14:paraId="025B9A62" w14:textId="23B74E35" w:rsidR="00C667E4" w:rsidRPr="00C667E4" w:rsidRDefault="00C667E4" w:rsidP="00C667E4">
      <w:pPr>
        <w:rPr>
          <w:b/>
          <w:bCs/>
        </w:rPr>
      </w:pPr>
      <w:r w:rsidRPr="00C667E4">
        <w:rPr>
          <w:b/>
          <w:bCs/>
        </w:rPr>
        <w:lastRenderedPageBreak/>
        <w:t>Mejorando (Improving)</w:t>
      </w:r>
    </w:p>
    <w:p w14:paraId="0F3E48B8" w14:textId="77777777" w:rsidR="00C667E4" w:rsidRPr="00C667E4" w:rsidRDefault="00C667E4" w:rsidP="00C667E4">
      <w:r w:rsidRPr="00C667E4">
        <w:t>Preguntas guía: ¿Se realizan mejoras continuas? ¿Se analizan errores o fallas para eliminar sus causas raíz y evitar recurrencias?</w:t>
      </w:r>
    </w:p>
    <w:tbl>
      <w:tblPr>
        <w:tblW w:w="12780" w:type="dxa"/>
        <w:tblCellMar>
          <w:left w:w="70" w:type="dxa"/>
          <w:right w:w="70" w:type="dxa"/>
        </w:tblCellMar>
        <w:tblLook w:val="04A0" w:firstRow="1" w:lastRow="0" w:firstColumn="1" w:lastColumn="0" w:noHBand="0" w:noVBand="1"/>
      </w:tblPr>
      <w:tblGrid>
        <w:gridCol w:w="1310"/>
        <w:gridCol w:w="2938"/>
        <w:gridCol w:w="2870"/>
        <w:gridCol w:w="2900"/>
        <w:gridCol w:w="2762"/>
      </w:tblGrid>
      <w:tr w:rsidR="00C667E4" w:rsidRPr="00C667E4" w14:paraId="679891BD" w14:textId="77777777" w:rsidTr="00C667E4">
        <w:trPr>
          <w:trHeight w:val="576"/>
        </w:trPr>
        <w:tc>
          <w:tcPr>
            <w:tcW w:w="1240" w:type="dxa"/>
            <w:tcBorders>
              <w:top w:val="single" w:sz="4" w:space="0" w:color="auto"/>
              <w:left w:val="nil"/>
              <w:bottom w:val="single" w:sz="4" w:space="0" w:color="auto"/>
              <w:right w:val="nil"/>
            </w:tcBorders>
            <w:vAlign w:val="bottom"/>
            <w:hideMark/>
          </w:tcPr>
          <w:p w14:paraId="2C42B3AE" w14:textId="77777777" w:rsidR="00C667E4" w:rsidRPr="00C667E4" w:rsidRDefault="00C667E4" w:rsidP="00C667E4">
            <w:pPr>
              <w:spacing w:after="0" w:line="240" w:lineRule="auto"/>
              <w:rPr>
                <w:rFonts w:ascii="Aptos Narrow" w:eastAsia="Times New Roman" w:hAnsi="Aptos Narrow" w:cs="Times New Roman"/>
                <w:b/>
                <w:bCs/>
                <w:color w:val="000000"/>
                <w:kern w:val="0"/>
                <w:lang w:eastAsia="es-GT"/>
                <w14:ligatures w14:val="none"/>
              </w:rPr>
            </w:pPr>
            <w:r w:rsidRPr="00C667E4">
              <w:rPr>
                <w:rFonts w:ascii="Aptos Narrow" w:eastAsia="Times New Roman" w:hAnsi="Aptos Narrow" w:cs="Times New Roman"/>
                <w:b/>
                <w:bCs/>
                <w:color w:val="000000"/>
                <w:kern w:val="0"/>
                <w:lang w:eastAsia="es-GT"/>
                <w14:ligatures w14:val="none"/>
              </w:rPr>
              <w:t>Aspecto</w:t>
            </w:r>
          </w:p>
        </w:tc>
        <w:tc>
          <w:tcPr>
            <w:tcW w:w="2960" w:type="dxa"/>
            <w:tcBorders>
              <w:top w:val="single" w:sz="4" w:space="0" w:color="auto"/>
              <w:left w:val="nil"/>
              <w:bottom w:val="single" w:sz="4" w:space="0" w:color="auto"/>
              <w:right w:val="nil"/>
            </w:tcBorders>
            <w:vAlign w:val="bottom"/>
            <w:hideMark/>
          </w:tcPr>
          <w:p w14:paraId="15F3D2A3" w14:textId="77777777" w:rsidR="00C667E4" w:rsidRPr="00C667E4" w:rsidRDefault="00C667E4" w:rsidP="00C667E4">
            <w:pPr>
              <w:spacing w:after="0" w:line="240" w:lineRule="auto"/>
              <w:rPr>
                <w:rFonts w:ascii="Aptos Narrow" w:eastAsia="Times New Roman" w:hAnsi="Aptos Narrow" w:cs="Times New Roman"/>
                <w:b/>
                <w:bCs/>
                <w:color w:val="000000"/>
                <w:kern w:val="0"/>
                <w:lang w:eastAsia="es-GT"/>
                <w14:ligatures w14:val="none"/>
              </w:rPr>
            </w:pPr>
            <w:r w:rsidRPr="00C667E4">
              <w:rPr>
                <w:rFonts w:ascii="Aptos Narrow" w:eastAsia="Times New Roman" w:hAnsi="Aptos Narrow" w:cs="Times New Roman"/>
                <w:b/>
                <w:bCs/>
                <w:color w:val="000000"/>
                <w:kern w:val="0"/>
                <w:lang w:eastAsia="es-GT"/>
                <w14:ligatures w14:val="none"/>
              </w:rPr>
              <w:t xml:space="preserve">Situación en </w:t>
            </w:r>
            <w:proofErr w:type="spellStart"/>
            <w:r w:rsidRPr="00C667E4">
              <w:rPr>
                <w:rFonts w:ascii="Aptos Narrow" w:eastAsia="Times New Roman" w:hAnsi="Aptos Narrow" w:cs="Times New Roman"/>
                <w:b/>
                <w:bCs/>
                <w:color w:val="000000"/>
                <w:kern w:val="0"/>
                <w:lang w:eastAsia="es-GT"/>
                <w14:ligatures w14:val="none"/>
              </w:rPr>
              <w:t>RápidoExpress</w:t>
            </w:r>
            <w:proofErr w:type="spellEnd"/>
            <w:r w:rsidRPr="00C667E4">
              <w:rPr>
                <w:rFonts w:ascii="Aptos Narrow" w:eastAsia="Times New Roman" w:hAnsi="Aptos Narrow" w:cs="Times New Roman"/>
                <w:b/>
                <w:bCs/>
                <w:color w:val="000000"/>
                <w:kern w:val="0"/>
                <w:lang w:eastAsia="es-GT"/>
                <w14:ligatures w14:val="none"/>
              </w:rPr>
              <w:t xml:space="preserve"> (Nivel 2)</w:t>
            </w:r>
          </w:p>
        </w:tc>
        <w:tc>
          <w:tcPr>
            <w:tcW w:w="2880" w:type="dxa"/>
            <w:tcBorders>
              <w:top w:val="single" w:sz="4" w:space="0" w:color="auto"/>
              <w:left w:val="nil"/>
              <w:bottom w:val="single" w:sz="4" w:space="0" w:color="auto"/>
              <w:right w:val="nil"/>
            </w:tcBorders>
            <w:vAlign w:val="bottom"/>
            <w:hideMark/>
          </w:tcPr>
          <w:p w14:paraId="45E46213" w14:textId="77777777" w:rsidR="00C667E4" w:rsidRPr="00C667E4" w:rsidRDefault="00C667E4" w:rsidP="00C667E4">
            <w:pPr>
              <w:spacing w:after="0" w:line="240" w:lineRule="auto"/>
              <w:rPr>
                <w:rFonts w:ascii="Aptos Narrow" w:eastAsia="Times New Roman" w:hAnsi="Aptos Narrow" w:cs="Times New Roman"/>
                <w:b/>
                <w:bCs/>
                <w:color w:val="000000"/>
                <w:kern w:val="0"/>
                <w:lang w:eastAsia="es-GT"/>
                <w14:ligatures w14:val="none"/>
              </w:rPr>
            </w:pPr>
            <w:r w:rsidRPr="00C667E4">
              <w:rPr>
                <w:rFonts w:ascii="Aptos Narrow" w:eastAsia="Times New Roman" w:hAnsi="Aptos Narrow" w:cs="Times New Roman"/>
                <w:b/>
                <w:bCs/>
                <w:color w:val="000000"/>
                <w:kern w:val="0"/>
                <w:lang w:eastAsia="es-GT"/>
                <w14:ligatures w14:val="none"/>
              </w:rPr>
              <w:t>Brecha identificada</w:t>
            </w:r>
          </w:p>
        </w:tc>
        <w:tc>
          <w:tcPr>
            <w:tcW w:w="2920" w:type="dxa"/>
            <w:tcBorders>
              <w:top w:val="single" w:sz="4" w:space="0" w:color="auto"/>
              <w:left w:val="nil"/>
              <w:bottom w:val="single" w:sz="4" w:space="0" w:color="auto"/>
              <w:right w:val="nil"/>
            </w:tcBorders>
            <w:vAlign w:val="bottom"/>
            <w:hideMark/>
          </w:tcPr>
          <w:p w14:paraId="659348D8" w14:textId="77777777" w:rsidR="00C667E4" w:rsidRPr="00C667E4" w:rsidRDefault="00C667E4" w:rsidP="00C667E4">
            <w:pPr>
              <w:spacing w:after="0" w:line="240" w:lineRule="auto"/>
              <w:rPr>
                <w:rFonts w:ascii="Aptos Narrow" w:eastAsia="Times New Roman" w:hAnsi="Aptos Narrow" w:cs="Times New Roman"/>
                <w:b/>
                <w:bCs/>
                <w:color w:val="000000"/>
                <w:kern w:val="0"/>
                <w:lang w:eastAsia="es-GT"/>
                <w14:ligatures w14:val="none"/>
              </w:rPr>
            </w:pPr>
            <w:r w:rsidRPr="00C667E4">
              <w:rPr>
                <w:rFonts w:ascii="Aptos Narrow" w:eastAsia="Times New Roman" w:hAnsi="Aptos Narrow" w:cs="Times New Roman"/>
                <w:b/>
                <w:bCs/>
                <w:color w:val="000000"/>
                <w:kern w:val="0"/>
                <w:lang w:eastAsia="es-GT"/>
                <w14:ligatures w14:val="none"/>
              </w:rPr>
              <w:t>Acción propuesta para avanzar a Nivel 3 (o superior)</w:t>
            </w:r>
          </w:p>
        </w:tc>
        <w:tc>
          <w:tcPr>
            <w:tcW w:w="2780" w:type="dxa"/>
            <w:tcBorders>
              <w:top w:val="single" w:sz="4" w:space="0" w:color="auto"/>
              <w:left w:val="nil"/>
              <w:bottom w:val="single" w:sz="4" w:space="0" w:color="auto"/>
              <w:right w:val="nil"/>
            </w:tcBorders>
            <w:vAlign w:val="bottom"/>
            <w:hideMark/>
          </w:tcPr>
          <w:p w14:paraId="5E5E6D6B" w14:textId="77777777" w:rsidR="00C667E4" w:rsidRPr="00C667E4" w:rsidRDefault="00C667E4" w:rsidP="00C667E4">
            <w:pPr>
              <w:spacing w:after="0" w:line="240" w:lineRule="auto"/>
              <w:rPr>
                <w:rFonts w:ascii="Aptos Narrow" w:eastAsia="Times New Roman" w:hAnsi="Aptos Narrow" w:cs="Times New Roman"/>
                <w:b/>
                <w:bCs/>
                <w:color w:val="000000"/>
                <w:kern w:val="0"/>
                <w:lang w:eastAsia="es-GT"/>
                <w14:ligatures w14:val="none"/>
              </w:rPr>
            </w:pPr>
            <w:r w:rsidRPr="00C667E4">
              <w:rPr>
                <w:rFonts w:ascii="Aptos Narrow" w:eastAsia="Times New Roman" w:hAnsi="Aptos Narrow" w:cs="Times New Roman"/>
                <w:b/>
                <w:bCs/>
                <w:color w:val="000000"/>
                <w:kern w:val="0"/>
                <w:lang w:eastAsia="es-GT"/>
                <w14:ligatures w14:val="none"/>
              </w:rPr>
              <w:t>Beneficio esperado / Relación con Niveles 4-5</w:t>
            </w:r>
          </w:p>
        </w:tc>
      </w:tr>
      <w:tr w:rsidR="00C667E4" w:rsidRPr="00C667E4" w14:paraId="559DAA6E" w14:textId="77777777" w:rsidTr="00C667E4">
        <w:trPr>
          <w:trHeight w:val="2304"/>
        </w:trPr>
        <w:tc>
          <w:tcPr>
            <w:tcW w:w="1240" w:type="dxa"/>
            <w:tcBorders>
              <w:top w:val="single" w:sz="4" w:space="0" w:color="auto"/>
              <w:left w:val="nil"/>
              <w:bottom w:val="nil"/>
              <w:right w:val="nil"/>
            </w:tcBorders>
            <w:vAlign w:val="bottom"/>
            <w:hideMark/>
          </w:tcPr>
          <w:p w14:paraId="631BE0C4"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Análisis de Causa Raíz (CAR)</w:t>
            </w:r>
          </w:p>
        </w:tc>
        <w:tc>
          <w:tcPr>
            <w:tcW w:w="2960" w:type="dxa"/>
            <w:tcBorders>
              <w:top w:val="single" w:sz="4" w:space="0" w:color="auto"/>
              <w:left w:val="nil"/>
              <w:bottom w:val="nil"/>
              <w:right w:val="nil"/>
            </w:tcBorders>
            <w:vAlign w:val="bottom"/>
            <w:hideMark/>
          </w:tcPr>
          <w:p w14:paraId="3F8AA8A1"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No se menciona ningún proceso de análisis de fallas. Los incidentes de seguridad se atienden de forma reactiva e improvisada, sin registro formal ni aprendizaje posterior.</w:t>
            </w:r>
          </w:p>
        </w:tc>
        <w:tc>
          <w:tcPr>
            <w:tcW w:w="2880" w:type="dxa"/>
            <w:tcBorders>
              <w:top w:val="single" w:sz="4" w:space="0" w:color="auto"/>
              <w:left w:val="nil"/>
              <w:bottom w:val="nil"/>
              <w:right w:val="nil"/>
            </w:tcBorders>
            <w:vAlign w:val="bottom"/>
            <w:hideMark/>
          </w:tcPr>
          <w:p w14:paraId="4573F1C5"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Ausencia de un procedimiento documentado para investigar desviaciones, errores o incidentes, identificar su causa raíz y definir acciones correctivas permanentes.</w:t>
            </w:r>
          </w:p>
        </w:tc>
        <w:tc>
          <w:tcPr>
            <w:tcW w:w="2920" w:type="dxa"/>
            <w:tcBorders>
              <w:top w:val="single" w:sz="4" w:space="0" w:color="auto"/>
              <w:left w:val="nil"/>
              <w:bottom w:val="nil"/>
              <w:right w:val="nil"/>
            </w:tcBorders>
            <w:vAlign w:val="bottom"/>
            <w:hideMark/>
          </w:tcPr>
          <w:p w14:paraId="0C0EDEC6"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 xml:space="preserve">Establecer un proceso formal de gestión de incidentes de seguridad que incluya una fase de análisis </w:t>
            </w:r>
            <w:proofErr w:type="spellStart"/>
            <w:r w:rsidRPr="00C667E4">
              <w:rPr>
                <w:rFonts w:ascii="Aptos Narrow" w:eastAsia="Times New Roman" w:hAnsi="Aptos Narrow" w:cs="Times New Roman"/>
                <w:color w:val="000000"/>
                <w:kern w:val="0"/>
                <w:lang w:eastAsia="es-GT"/>
                <w14:ligatures w14:val="none"/>
              </w:rPr>
              <w:t>post-incidente</w:t>
            </w:r>
            <w:proofErr w:type="spellEnd"/>
            <w:r w:rsidRPr="00C667E4">
              <w:rPr>
                <w:rFonts w:ascii="Aptos Narrow" w:eastAsia="Times New Roman" w:hAnsi="Aptos Narrow" w:cs="Times New Roman"/>
                <w:color w:val="000000"/>
                <w:kern w:val="0"/>
                <w:lang w:eastAsia="es-GT"/>
                <w14:ligatures w14:val="none"/>
              </w:rPr>
              <w:t xml:space="preserve"> (lecciones aprendidas y análisis de causa raíz).</w:t>
            </w:r>
          </w:p>
        </w:tc>
        <w:tc>
          <w:tcPr>
            <w:tcW w:w="2780" w:type="dxa"/>
            <w:tcBorders>
              <w:top w:val="single" w:sz="4" w:space="0" w:color="auto"/>
              <w:left w:val="nil"/>
              <w:bottom w:val="nil"/>
              <w:right w:val="nil"/>
            </w:tcBorders>
            <w:vAlign w:val="bottom"/>
            <w:hideMark/>
          </w:tcPr>
          <w:p w14:paraId="3184FAFE"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Pasar de ser reactivo a proactivo. Evitar que un mismo tipo de incidente se repita en el futuro. Base para avanzar al Nivel 4 (control estadístico de incidentes) y Nivel 5 (cero defectos estructurales en seguridad).</w:t>
            </w:r>
          </w:p>
        </w:tc>
      </w:tr>
      <w:tr w:rsidR="00C667E4" w:rsidRPr="00C667E4" w14:paraId="1101D2A1" w14:textId="77777777" w:rsidTr="00C667E4">
        <w:trPr>
          <w:trHeight w:val="2016"/>
        </w:trPr>
        <w:tc>
          <w:tcPr>
            <w:tcW w:w="1240" w:type="dxa"/>
            <w:tcBorders>
              <w:top w:val="nil"/>
              <w:left w:val="nil"/>
              <w:right w:val="nil"/>
            </w:tcBorders>
            <w:vAlign w:val="bottom"/>
            <w:hideMark/>
          </w:tcPr>
          <w:p w14:paraId="1CA014BB"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Mejora Continua de Procesos</w:t>
            </w:r>
          </w:p>
        </w:tc>
        <w:tc>
          <w:tcPr>
            <w:tcW w:w="2960" w:type="dxa"/>
            <w:tcBorders>
              <w:top w:val="nil"/>
              <w:left w:val="nil"/>
              <w:right w:val="nil"/>
            </w:tcBorders>
            <w:vAlign w:val="bottom"/>
            <w:hideMark/>
          </w:tcPr>
          <w:p w14:paraId="44480A72"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No existe un ciclo de mejora formal. Los procesos de seguridad, cuando existen, son estáticos y varían por área. No se miden ni se ajustan con base en resultados.</w:t>
            </w:r>
          </w:p>
        </w:tc>
        <w:tc>
          <w:tcPr>
            <w:tcW w:w="2880" w:type="dxa"/>
            <w:tcBorders>
              <w:top w:val="nil"/>
              <w:left w:val="nil"/>
              <w:right w:val="nil"/>
            </w:tcBorders>
            <w:vAlign w:val="bottom"/>
            <w:hideMark/>
          </w:tcPr>
          <w:p w14:paraId="1AC5A051"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Falta de una retroalimentación sistemática desde la operación y los incidentes hacia la mejora de los procesos estandarizados.</w:t>
            </w:r>
          </w:p>
        </w:tc>
        <w:tc>
          <w:tcPr>
            <w:tcW w:w="2920" w:type="dxa"/>
            <w:tcBorders>
              <w:top w:val="nil"/>
              <w:left w:val="nil"/>
              <w:right w:val="nil"/>
            </w:tcBorders>
            <w:vAlign w:val="bottom"/>
            <w:hideMark/>
          </w:tcPr>
          <w:p w14:paraId="2AA4024B"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Integrar la gestión de vulnerabilidades y parches como un ciclo PDCA (Planificar-Hacer-Verificar-Actuar): escanear, priorizar, parchear, verificar y ajustar el proceso.</w:t>
            </w:r>
          </w:p>
        </w:tc>
        <w:tc>
          <w:tcPr>
            <w:tcW w:w="2780" w:type="dxa"/>
            <w:tcBorders>
              <w:top w:val="nil"/>
              <w:left w:val="nil"/>
              <w:right w:val="nil"/>
            </w:tcBorders>
            <w:vAlign w:val="bottom"/>
            <w:hideMark/>
          </w:tcPr>
          <w:p w14:paraId="70F8B9EE"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 xml:space="preserve">Disminución continua de la exposición a vulnerabilidades conocidas. Mayor estabilidad de los sistemas. Alineación con buenas prácticas (CIS </w:t>
            </w:r>
            <w:proofErr w:type="spellStart"/>
            <w:r w:rsidRPr="00C667E4">
              <w:rPr>
                <w:rFonts w:ascii="Aptos Narrow" w:eastAsia="Times New Roman" w:hAnsi="Aptos Narrow" w:cs="Times New Roman"/>
                <w:color w:val="000000"/>
                <w:kern w:val="0"/>
                <w:lang w:eastAsia="es-GT"/>
                <w14:ligatures w14:val="none"/>
              </w:rPr>
              <w:t>Controls</w:t>
            </w:r>
            <w:proofErr w:type="spellEnd"/>
            <w:r w:rsidRPr="00C667E4">
              <w:rPr>
                <w:rFonts w:ascii="Aptos Narrow" w:eastAsia="Times New Roman" w:hAnsi="Aptos Narrow" w:cs="Times New Roman"/>
                <w:color w:val="000000"/>
                <w:kern w:val="0"/>
                <w:lang w:eastAsia="es-GT"/>
                <w14:ligatures w14:val="none"/>
              </w:rPr>
              <w:t>).</w:t>
            </w:r>
          </w:p>
        </w:tc>
      </w:tr>
      <w:tr w:rsidR="00C667E4" w:rsidRPr="00C667E4" w14:paraId="2659A7E2" w14:textId="77777777" w:rsidTr="00C667E4">
        <w:trPr>
          <w:trHeight w:val="2592"/>
        </w:trPr>
        <w:tc>
          <w:tcPr>
            <w:tcW w:w="1240" w:type="dxa"/>
            <w:tcBorders>
              <w:top w:val="nil"/>
              <w:left w:val="nil"/>
              <w:bottom w:val="single" w:sz="4" w:space="0" w:color="auto"/>
              <w:right w:val="nil"/>
            </w:tcBorders>
            <w:vAlign w:val="bottom"/>
            <w:hideMark/>
          </w:tcPr>
          <w:p w14:paraId="0DFA2503"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Innovación y Optimización</w:t>
            </w:r>
          </w:p>
        </w:tc>
        <w:tc>
          <w:tcPr>
            <w:tcW w:w="2960" w:type="dxa"/>
            <w:tcBorders>
              <w:top w:val="nil"/>
              <w:left w:val="nil"/>
              <w:bottom w:val="single" w:sz="4" w:space="0" w:color="auto"/>
              <w:right w:val="nil"/>
            </w:tcBorders>
            <w:vAlign w:val="bottom"/>
            <w:hideMark/>
          </w:tcPr>
          <w:p w14:paraId="506A923F"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La organización no tiene capacidad de mejorar más allá de corregir lo urgente. No hay visión de optimización proactiva.</w:t>
            </w:r>
          </w:p>
        </w:tc>
        <w:tc>
          <w:tcPr>
            <w:tcW w:w="2880" w:type="dxa"/>
            <w:tcBorders>
              <w:top w:val="nil"/>
              <w:left w:val="nil"/>
              <w:bottom w:val="single" w:sz="4" w:space="0" w:color="auto"/>
              <w:right w:val="nil"/>
            </w:tcBorders>
            <w:vAlign w:val="bottom"/>
            <w:hideMark/>
          </w:tcPr>
          <w:p w14:paraId="23795088"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Para llegar al Nivel 5 (Optimización), se necesitaría un proceso formal de innovación que evalúe nuevas tecnologías (</w:t>
            </w:r>
            <w:proofErr w:type="spellStart"/>
            <w:r w:rsidRPr="00C667E4">
              <w:rPr>
                <w:rFonts w:ascii="Aptos Narrow" w:eastAsia="Times New Roman" w:hAnsi="Aptos Narrow" w:cs="Times New Roman"/>
                <w:color w:val="000000"/>
                <w:kern w:val="0"/>
                <w:lang w:eastAsia="es-GT"/>
                <w14:ligatures w14:val="none"/>
              </w:rPr>
              <w:t>ej</w:t>
            </w:r>
            <w:proofErr w:type="spellEnd"/>
            <w:r w:rsidRPr="00C667E4">
              <w:rPr>
                <w:rFonts w:ascii="Aptos Narrow" w:eastAsia="Times New Roman" w:hAnsi="Aptos Narrow" w:cs="Times New Roman"/>
                <w:color w:val="000000"/>
                <w:kern w:val="0"/>
                <w:lang w:eastAsia="es-GT"/>
                <w14:ligatures w14:val="none"/>
              </w:rPr>
              <w:t>: IA para detectar vulnerabilidades) y las integre si mejoran los objetivos de negocio.</w:t>
            </w:r>
          </w:p>
        </w:tc>
        <w:tc>
          <w:tcPr>
            <w:tcW w:w="2920" w:type="dxa"/>
            <w:tcBorders>
              <w:top w:val="nil"/>
              <w:left w:val="nil"/>
              <w:bottom w:val="single" w:sz="4" w:space="0" w:color="auto"/>
              <w:right w:val="nil"/>
            </w:tcBorders>
            <w:vAlign w:val="bottom"/>
            <w:hideMark/>
          </w:tcPr>
          <w:p w14:paraId="00133C7D"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*Acción a futuro (post-Nivel 3</w:t>
            </w:r>
            <w:proofErr w:type="gramStart"/>
            <w:r w:rsidRPr="00C667E4">
              <w:rPr>
                <w:rFonts w:ascii="Aptos Narrow" w:eastAsia="Times New Roman" w:hAnsi="Aptos Narrow" w:cs="Times New Roman"/>
                <w:color w:val="000000"/>
                <w:kern w:val="0"/>
                <w:lang w:eastAsia="es-GT"/>
                <w14:ligatures w14:val="none"/>
              </w:rPr>
              <w:t>):*</w:t>
            </w:r>
            <w:proofErr w:type="gramEnd"/>
            <w:r w:rsidRPr="00C667E4">
              <w:rPr>
                <w:rFonts w:ascii="Aptos Narrow" w:eastAsia="Times New Roman" w:hAnsi="Aptos Narrow" w:cs="Times New Roman"/>
                <w:color w:val="000000"/>
                <w:kern w:val="0"/>
                <w:lang w:eastAsia="es-GT"/>
                <w14:ligatures w14:val="none"/>
              </w:rPr>
              <w:t> Establecer un comité de mejora que revise periódicamente las métricas de seguridad (</w:t>
            </w:r>
            <w:proofErr w:type="spellStart"/>
            <w:r w:rsidRPr="00C667E4">
              <w:rPr>
                <w:rFonts w:ascii="Aptos Narrow" w:eastAsia="Times New Roman" w:hAnsi="Aptos Narrow" w:cs="Times New Roman"/>
                <w:color w:val="000000"/>
                <w:kern w:val="0"/>
                <w:lang w:eastAsia="es-GT"/>
                <w14:ligatures w14:val="none"/>
              </w:rPr>
              <w:t>ej</w:t>
            </w:r>
            <w:proofErr w:type="spellEnd"/>
            <w:r w:rsidRPr="00C667E4">
              <w:rPr>
                <w:rFonts w:ascii="Aptos Narrow" w:eastAsia="Times New Roman" w:hAnsi="Aptos Narrow" w:cs="Times New Roman"/>
                <w:color w:val="000000"/>
                <w:kern w:val="0"/>
                <w:lang w:eastAsia="es-GT"/>
                <w14:ligatures w14:val="none"/>
              </w:rPr>
              <w:t>: tiempo de respuesta a incidentes, número de accesos indebidos bloqueados) y proponga innovaciones.</w:t>
            </w:r>
          </w:p>
        </w:tc>
        <w:tc>
          <w:tcPr>
            <w:tcW w:w="2780" w:type="dxa"/>
            <w:tcBorders>
              <w:top w:val="nil"/>
              <w:left w:val="nil"/>
              <w:bottom w:val="single" w:sz="4" w:space="0" w:color="auto"/>
              <w:right w:val="nil"/>
            </w:tcBorders>
            <w:vAlign w:val="bottom"/>
            <w:hideMark/>
          </w:tcPr>
          <w:p w14:paraId="7D043B08" w14:textId="77777777" w:rsidR="00C667E4" w:rsidRPr="00C667E4" w:rsidRDefault="00C667E4" w:rsidP="00C667E4">
            <w:pPr>
              <w:spacing w:after="0" w:line="240" w:lineRule="auto"/>
              <w:rPr>
                <w:rFonts w:ascii="Aptos Narrow" w:eastAsia="Times New Roman" w:hAnsi="Aptos Narrow" w:cs="Times New Roman"/>
                <w:color w:val="000000"/>
                <w:kern w:val="0"/>
                <w:lang w:eastAsia="es-GT"/>
                <w14:ligatures w14:val="none"/>
              </w:rPr>
            </w:pPr>
            <w:r w:rsidRPr="00C667E4">
              <w:rPr>
                <w:rFonts w:ascii="Aptos Narrow" w:eastAsia="Times New Roman" w:hAnsi="Aptos Narrow" w:cs="Times New Roman"/>
                <w:color w:val="000000"/>
                <w:kern w:val="0"/>
                <w:lang w:eastAsia="es-GT"/>
                <w14:ligatures w14:val="none"/>
              </w:rPr>
              <w:t>Convertir la seguridad en una ventaja competitiva. Capacidad de adaptarse a nuevas amenazas sin perder estabilidad. Objetivo de "cero defectos" en controles críticos.</w:t>
            </w:r>
          </w:p>
        </w:tc>
      </w:tr>
    </w:tbl>
    <w:p w14:paraId="7037B212" w14:textId="77777777" w:rsidR="00C667E4" w:rsidRDefault="00C667E4"/>
    <w:sectPr w:rsidR="00C667E4" w:rsidSect="00C667E4">
      <w:headerReference w:type="default" r:id="rId6"/>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106BF" w14:textId="77777777" w:rsidR="0051482B" w:rsidRDefault="0051482B" w:rsidP="00C667E4">
      <w:pPr>
        <w:spacing w:after="0" w:line="240" w:lineRule="auto"/>
      </w:pPr>
      <w:r>
        <w:separator/>
      </w:r>
    </w:p>
  </w:endnote>
  <w:endnote w:type="continuationSeparator" w:id="0">
    <w:p w14:paraId="459EC709" w14:textId="77777777" w:rsidR="0051482B" w:rsidRDefault="0051482B" w:rsidP="00C66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C5A62" w14:textId="77777777" w:rsidR="0051482B" w:rsidRDefault="0051482B" w:rsidP="00C667E4">
      <w:pPr>
        <w:spacing w:after="0" w:line="240" w:lineRule="auto"/>
      </w:pPr>
      <w:r>
        <w:separator/>
      </w:r>
    </w:p>
  </w:footnote>
  <w:footnote w:type="continuationSeparator" w:id="0">
    <w:p w14:paraId="62460962" w14:textId="77777777" w:rsidR="0051482B" w:rsidRDefault="0051482B" w:rsidP="00C66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B6E7" w14:textId="77777777" w:rsidR="00C667E4" w:rsidRDefault="00C667E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E4"/>
    <w:rsid w:val="0019709E"/>
    <w:rsid w:val="00245EE2"/>
    <w:rsid w:val="0051482B"/>
    <w:rsid w:val="006143B2"/>
    <w:rsid w:val="00653745"/>
    <w:rsid w:val="00BA6B59"/>
    <w:rsid w:val="00C667E4"/>
    <w:rsid w:val="00E61F10"/>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7E653"/>
  <w15:chartTrackingRefBased/>
  <w15:docId w15:val="{736F4B53-35A7-4EAF-90FE-5AAAC8D3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6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6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67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67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67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67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67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67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67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67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67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67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67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67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67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67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67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67E4"/>
    <w:rPr>
      <w:rFonts w:eastAsiaTheme="majorEastAsia" w:cstheme="majorBidi"/>
      <w:color w:val="272727" w:themeColor="text1" w:themeTint="D8"/>
    </w:rPr>
  </w:style>
  <w:style w:type="paragraph" w:styleId="Ttulo">
    <w:name w:val="Title"/>
    <w:basedOn w:val="Normal"/>
    <w:next w:val="Normal"/>
    <w:link w:val="TtuloCar"/>
    <w:uiPriority w:val="10"/>
    <w:qFormat/>
    <w:rsid w:val="00C66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67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67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67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67E4"/>
    <w:pPr>
      <w:spacing w:before="160"/>
      <w:jc w:val="center"/>
    </w:pPr>
    <w:rPr>
      <w:i/>
      <w:iCs/>
      <w:color w:val="404040" w:themeColor="text1" w:themeTint="BF"/>
    </w:rPr>
  </w:style>
  <w:style w:type="character" w:customStyle="1" w:styleId="CitaCar">
    <w:name w:val="Cita Car"/>
    <w:basedOn w:val="Fuentedeprrafopredeter"/>
    <w:link w:val="Cita"/>
    <w:uiPriority w:val="29"/>
    <w:rsid w:val="00C667E4"/>
    <w:rPr>
      <w:i/>
      <w:iCs/>
      <w:color w:val="404040" w:themeColor="text1" w:themeTint="BF"/>
    </w:rPr>
  </w:style>
  <w:style w:type="paragraph" w:styleId="Prrafodelista">
    <w:name w:val="List Paragraph"/>
    <w:basedOn w:val="Normal"/>
    <w:uiPriority w:val="34"/>
    <w:qFormat/>
    <w:rsid w:val="00C667E4"/>
    <w:pPr>
      <w:ind w:left="720"/>
      <w:contextualSpacing/>
    </w:pPr>
  </w:style>
  <w:style w:type="character" w:styleId="nfasisintenso">
    <w:name w:val="Intense Emphasis"/>
    <w:basedOn w:val="Fuentedeprrafopredeter"/>
    <w:uiPriority w:val="21"/>
    <w:qFormat/>
    <w:rsid w:val="00C667E4"/>
    <w:rPr>
      <w:i/>
      <w:iCs/>
      <w:color w:val="0F4761" w:themeColor="accent1" w:themeShade="BF"/>
    </w:rPr>
  </w:style>
  <w:style w:type="paragraph" w:styleId="Citadestacada">
    <w:name w:val="Intense Quote"/>
    <w:basedOn w:val="Normal"/>
    <w:next w:val="Normal"/>
    <w:link w:val="CitadestacadaCar"/>
    <w:uiPriority w:val="30"/>
    <w:qFormat/>
    <w:rsid w:val="00C66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67E4"/>
    <w:rPr>
      <w:i/>
      <w:iCs/>
      <w:color w:val="0F4761" w:themeColor="accent1" w:themeShade="BF"/>
    </w:rPr>
  </w:style>
  <w:style w:type="character" w:styleId="Referenciaintensa">
    <w:name w:val="Intense Reference"/>
    <w:basedOn w:val="Fuentedeprrafopredeter"/>
    <w:uiPriority w:val="32"/>
    <w:qFormat/>
    <w:rsid w:val="00C667E4"/>
    <w:rPr>
      <w:b/>
      <w:bCs/>
      <w:smallCaps/>
      <w:color w:val="0F4761" w:themeColor="accent1" w:themeShade="BF"/>
      <w:spacing w:val="5"/>
    </w:rPr>
  </w:style>
  <w:style w:type="paragraph" w:styleId="Encabezado">
    <w:name w:val="header"/>
    <w:basedOn w:val="Normal"/>
    <w:link w:val="EncabezadoCar"/>
    <w:uiPriority w:val="99"/>
    <w:unhideWhenUsed/>
    <w:rsid w:val="00C667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67E4"/>
  </w:style>
  <w:style w:type="paragraph" w:styleId="Piedepgina">
    <w:name w:val="footer"/>
    <w:basedOn w:val="Normal"/>
    <w:link w:val="PiedepginaCar"/>
    <w:uiPriority w:val="99"/>
    <w:unhideWhenUsed/>
    <w:rsid w:val="00C667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6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044088">
      <w:marLeft w:val="0"/>
      <w:marRight w:val="0"/>
      <w:marTop w:val="0"/>
      <w:marBottom w:val="0"/>
      <w:divBdr>
        <w:top w:val="none" w:sz="0" w:space="0" w:color="auto"/>
        <w:left w:val="none" w:sz="0" w:space="0" w:color="auto"/>
        <w:bottom w:val="none" w:sz="0" w:space="0" w:color="auto"/>
        <w:right w:val="none" w:sz="0" w:space="0" w:color="auto"/>
      </w:divBdr>
      <w:divsChild>
        <w:div w:id="393356627">
          <w:marLeft w:val="0"/>
          <w:marRight w:val="0"/>
          <w:marTop w:val="0"/>
          <w:marBottom w:val="0"/>
          <w:divBdr>
            <w:top w:val="none" w:sz="0" w:space="0" w:color="auto"/>
            <w:left w:val="none" w:sz="0" w:space="0" w:color="auto"/>
            <w:bottom w:val="none" w:sz="0" w:space="0" w:color="auto"/>
            <w:right w:val="none" w:sz="0" w:space="0" w:color="auto"/>
          </w:divBdr>
          <w:divsChild>
            <w:div w:id="789979152">
              <w:marLeft w:val="0"/>
              <w:marRight w:val="0"/>
              <w:marTop w:val="0"/>
              <w:marBottom w:val="0"/>
              <w:divBdr>
                <w:top w:val="none" w:sz="0" w:space="0" w:color="auto"/>
                <w:left w:val="none" w:sz="0" w:space="0" w:color="auto"/>
                <w:bottom w:val="none" w:sz="0" w:space="0" w:color="auto"/>
                <w:right w:val="none" w:sz="0" w:space="0" w:color="auto"/>
              </w:divBdr>
              <w:divsChild>
                <w:div w:id="1071850643">
                  <w:marLeft w:val="0"/>
                  <w:marRight w:val="0"/>
                  <w:marTop w:val="0"/>
                  <w:marBottom w:val="0"/>
                  <w:divBdr>
                    <w:top w:val="none" w:sz="0" w:space="0" w:color="auto"/>
                    <w:left w:val="none" w:sz="0" w:space="0" w:color="auto"/>
                    <w:bottom w:val="none" w:sz="0" w:space="0" w:color="auto"/>
                    <w:right w:val="none" w:sz="0" w:space="0" w:color="auto"/>
                  </w:divBdr>
                  <w:divsChild>
                    <w:div w:id="1554267819">
                      <w:marLeft w:val="0"/>
                      <w:marRight w:val="0"/>
                      <w:marTop w:val="0"/>
                      <w:marBottom w:val="0"/>
                      <w:divBdr>
                        <w:top w:val="none" w:sz="0" w:space="0" w:color="auto"/>
                        <w:left w:val="none" w:sz="0" w:space="0" w:color="auto"/>
                        <w:bottom w:val="none" w:sz="0" w:space="0" w:color="auto"/>
                        <w:right w:val="none" w:sz="0" w:space="0" w:color="auto"/>
                      </w:divBdr>
                      <w:divsChild>
                        <w:div w:id="37069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1163</Words>
  <Characters>6402</Characters>
  <Application>Microsoft Office Word</Application>
  <DocSecurity>0</DocSecurity>
  <Lines>53</Lines>
  <Paragraphs>15</Paragraphs>
  <ScaleCrop>false</ScaleCrop>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1</cp:revision>
  <dcterms:created xsi:type="dcterms:W3CDTF">2026-05-02T19:26:00Z</dcterms:created>
  <dcterms:modified xsi:type="dcterms:W3CDTF">2026-05-02T19:37:00Z</dcterms:modified>
</cp:coreProperties>
</file>