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sz w:val="40"/>
          <w:szCs w:val="40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80"/>
          <w:szCs w:val="80"/>
        </w:rPr>
        <w:t xml:space="preserve">GuardIA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color w:val="00B4D8"/>
          <w:sz w:val="30"/>
          <w:szCs w:val="30"/>
        </w:rPr>
        <w:t xml:space="preserve">Plataforma Inteligente de Ciberseguridad Preventiva</w:t>
      </w:r>
    </w:p>
    <w:p>
      <w:pPr>
        <w:shd w:fill="1B3A6B" w:color="1B3A6B" w:val="clear"/>
        <w:spacing w:after="200" w:before="0"/>
      </w:pPr>
      <w:r>
        <w:rPr>
          <w:sz w:val="10"/>
          <w:szCs w:val="10"/>
        </w:rPr>
        <w:t xml:space="preserve"> 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44"/>
          <w:szCs w:val="44"/>
        </w:rPr>
        <w:t xml:space="preserve">PITCH FINANCIERO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Proyección a 36 meses · Guatemala, 2026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Angelo Quezada · Danny Sosa · Carlos Rodríguez · Luis Paniagua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Universidad Mariano Gálvez · Maestría en Seguridad Informática</w:t>
      </w:r>
    </w:p>
    <w:p>
      <w:r>
        <w:br w:type="page"/>
      </w:r>
    </w:p>
    <w:p>
      <w:pPr>
        <w:shd w:fill="1B3A6B" w:color="1B3A6B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1.  Modelo de Ingresos</w:t>
      </w:r>
    </w:p>
    <w:p>
      <w:pPr>
        <w:spacing w:after="80" w:before="0"/>
      </w:pP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GuardIA opera bajo un modelo híbrido de ingresos recurrentes predecibles (SaaS) y servicios complementarios de alto margen: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Suscripciones SaaS (3 planes escalonados): Q 1,500 / Q 5,000 / Q 15,000 por mes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Servicios de consultoría y auditoría: Q 8,000 promedio mensual conjunto en el Año 1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Ingresos totales proyectados: Q 509,615 (Año 1) → Q 7,267,257 (Año 3)</w:t>
      </w:r>
    </w:p>
    <w:p>
      <w:pPr>
        <w:spacing w:after="80" w:before="0"/>
      </w:pPr>
    </w:p>
    <w:p>
      <w:pPr>
        <w:pBdr>
          <w:bottom w:val="single" w:color="00B4D8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Estructura de Precios y Márgenes</w:t>
      </w:r>
    </w:p>
    <w:p>
      <w:pPr>
        <w:spacing w:after="80" w:before="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2400"/>
        <w:gridCol w:w="2400"/>
        <w:gridCol w:w="24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Precio / mes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Costo Variable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Margen (%)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Plan Básico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1,500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100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93.3%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Plan Profesional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5,000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280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94.4%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Plan Enterprise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15,000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950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93.7%</w:t>
            </w:r>
          </w:p>
        </w:tc>
      </w:tr>
    </w:tbl>
    <w:p>
      <w:pPr>
        <w:spacing w:after="80" w:before="0"/>
      </w:pPr>
    </w:p>
    <w:p>
      <w:pPr>
        <w:spacing w:after="40" w:before="12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Figura 1. Margen de contribución por plan de suscripción</w:t>
      </w:r>
    </w:p>
    <w:p>
      <w:r>
        <w:br w:type="page"/>
      </w:r>
    </w:p>
    <w:p>
      <w:pPr>
        <w:shd w:fill="1B3A6B" w:color="1B3A6B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  Tracción y Validación del Mercado</w:t>
      </w:r>
    </w:p>
    <w:p>
      <w:pPr>
        <w:spacing w:after="80" w:before="0"/>
      </w:pP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GuardIA validó su propuesta de valor mediante investigación mixta con 38 instituciones del sector público, financiero y de salud en Guatemala:</w:t>
      </w:r>
    </w:p>
    <w:p>
      <w:pPr>
        <w:spacing w:after="80" w:before="0"/>
      </w:pPr>
    </w:p>
    <w:p>
      <w:pPr>
        <w:pBdr>
          <w:bottom w:val="single" w:color="00B4D8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Hallazgos Cuantitativos (30 instituciones encuestadas)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Mayoría sin monitoreo continuo de su superficie de ataque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Auditorías realizadas 1-2 veces al año a alto costo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Escasez de personal especializado en ciberseguridad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Cumplimiento normativo realizado de forma manual y sin trazabilidad</w:t>
      </w:r>
    </w:p>
    <w:p>
      <w:pPr>
        <w:spacing w:after="80" w:before="0"/>
      </w:pPr>
    </w:p>
    <w:p>
      <w:pPr>
        <w:pBdr>
          <w:bottom w:val="single" w:color="00B4D8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Validación Cualitativa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5 directores de TI y 3 gerentes de seguridad entrevistados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Focus group de 10 representantes del sector objetivo validaron el MVP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Confirman la necesidad de solución continua, accesible y normativa</w:t>
      </w:r>
    </w:p>
    <w:p>
      <w:pPr>
        <w:spacing w:after="80" w:before="0"/>
      </w:pPr>
    </w:p>
    <w:p>
      <w:pPr>
        <w:pBdr>
          <w:bottom w:val="single" w:color="00B4D8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Métricas Actuales del Modelo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Churn Rate proyectado: </w:t>
      </w: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1.5% mensual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(benchmark SaaS: 3–5%)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MRR primer año: </w:t>
      </w: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Q 34,468 promedio mensual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Clientes meta Año 1: </w:t>
      </w: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16 clientes activos al cierre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Crecimiento clientes Año 2 → Año 3: </w:t>
      </w: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+300% base de clientes</w:t>
      </w:r>
    </w:p>
    <w:p>
      <w:r>
        <w:br w:type="page"/>
      </w:r>
    </w:p>
    <w:p>
      <w:pPr>
        <w:shd w:fill="1B3A6B" w:color="1B3A6B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  KPIs Financieros Clave</w:t>
      </w:r>
    </w:p>
    <w:p>
      <w:pPr>
        <w:spacing w:after="80" w:before="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2400"/>
        <w:gridCol w:w="42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Interpretación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VAN (WACC 15%)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1,988,656</w:t>
            </w:r>
          </w:p>
        </w:tc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Altamente viable — VAN &gt; 0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TIR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137.72%</w:t>
            </w:r>
          </w:p>
        </w:tc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Supera ampliamente el WACC del 15%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ROI a 36 meses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1,275%</w:t>
            </w:r>
          </w:p>
        </w:tc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12.76 por cada Q 1 invertido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LTV / CAC (Año 1)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6.52x</w:t>
            </w:r>
          </w:p>
        </w:tc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Umbral saludable: &gt; 3x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LTV / CAC (Año 3)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16.02x</w:t>
            </w:r>
          </w:p>
        </w:tc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Motor de crecimiento rentable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Punto de equilibrio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7.7 clientes/mes (Año 1)</w:t>
            </w:r>
          </w:p>
        </w:tc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Umbral muy alcanzable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Break-even mensual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Mes 8</w:t>
            </w:r>
          </w:p>
        </w:tc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Primera utilidad mensual positiva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Recuperación pérdidas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Mes 19</w:t>
            </w:r>
          </w:p>
        </w:tc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Pérdidas acumuladas cubiertas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Margen bruto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86.5% → 90.7%</w:t>
            </w:r>
          </w:p>
        </w:tc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Escalabilidad del modelo SaaS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Margen neto Año 3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38.7%</w:t>
            </w:r>
          </w:p>
        </w:tc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Alta rentabilidad sostenida</w:t>
            </w:r>
          </w:p>
        </w:tc>
      </w:tr>
    </w:tbl>
    <w:p>
      <w:r>
        <w:br w:type="page"/>
      </w:r>
    </w:p>
    <w:p>
      <w:pPr>
        <w:shd w:fill="1B3A6B" w:color="1B3A6B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  Estado de Resultados Proyectado (36 meses)</w:t>
      </w:r>
    </w:p>
    <w:p>
      <w:pPr>
        <w:spacing w:after="80" w:before="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2200"/>
        <w:gridCol w:w="2200"/>
        <w:gridCol w:w="22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Rubro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Año 1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Año 2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Año 3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Ingresos por suscripciones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413,615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2,277,047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6,667,257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Ingresos por consultoría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96,000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300,000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600,000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INGRESOS TOTALES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Q 509,615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2,577,047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7,267,257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Costo de ventas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68,547)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274,230)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677,740)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UTILIDAD BRUTA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Q 441,068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2,302,818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6,589,518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Costo de personal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279,353)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1,086,372)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2,157,224)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Marketing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138,000)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276,000)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477,500)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Gastos administrativos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60,000)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120,000)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180,000)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Total gastos operativos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(Q 477,353)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(Q 1,482,372)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(Q 2,814,724)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Depreciación y amortización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25,250)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25,250)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25,250)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Utilidad antes de impuestos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61,535)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795,196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3,749,543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Impuesto sobre la renta (25%)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20,574)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208,025)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937,386)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UTILIDAD NETA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(Q 82,109)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587,171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2,812,158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Margen neto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-16.1%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22.8%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38.7%</w:t>
            </w:r>
          </w:p>
        </w:tc>
      </w:tr>
    </w:tbl>
    <w:p>
      <w:pPr>
        <w:spacing w:after="80" w:before="0"/>
      </w:pP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1A2E"/>
          <w:sz w:val="20"/>
          <w:szCs w:val="20"/>
        </w:rPr>
        <w:t xml:space="preserve">Nota: Los montos entre paréntesis representan salidas o deducciones. Crecimiento de ingresos: +405.7% (Año 1→2) y +182% (Año 2→3).</w:t>
      </w:r>
    </w:p>
    <w:p>
      <w:pPr>
        <w:spacing w:after="80" w:before="0"/>
      </w:pPr>
    </w:p>
    <w:p>
      <w:pPr>
        <w:spacing w:after="40" w:before="12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Figura 2. Ingresos totales y utilidad neta por año (Q)</w:t>
      </w:r>
    </w:p>
    <w:p>
      <w:r>
        <w:br w:type="page"/>
      </w:r>
    </w:p>
    <w:p>
      <w:pPr>
        <w:shd w:fill="1B3A6B" w:color="1B3A6B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5.  Flujo de Caja Proyectado</w:t>
      </w:r>
    </w:p>
    <w:p>
      <w:pPr>
        <w:spacing w:after="80" w:before="0"/>
      </w:pP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saldo de caja permanece positivo durante los 36 meses proyectados. El punto de mayor tensión ocurre en el Mes 6 (saldo mínimo de Q 18,161). Con el capital de trabajo de Q 140,000, el proyecto sostiene la operación completa sin deuda.</w:t>
      </w:r>
    </w:p>
    <w:p>
      <w:pPr>
        <w:spacing w:after="80" w:before="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2200"/>
        <w:gridCol w:w="2200"/>
        <w:gridCol w:w="22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Año 1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Año 2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Año 3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Saldo inicial de caja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0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93,102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741,011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Cobros por suscripciones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413,615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2,277,047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6,667,257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Cobros por consultoría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88,000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283,000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575,000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Aporte de socios (capital)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260,000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0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0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TOTAL ENTRADAS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761,615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2,560,047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7,242,257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Pago de personal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243,367)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946,428)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1,879,336)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Pago de marketing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138,000)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276,000)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477,500)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Gastos administrativos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60,000)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120,000)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180,000)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Proveedores tecnológicos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20,880)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125,726)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376,324)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Costo consultoría/auditoría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43,200)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135,000)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270,000)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Prestaciones laborales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22,491)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100,960)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226,160)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Impuesto sobre la renta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20,574)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208,025)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937,386)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Inversión inicial (activos)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120,000)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0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0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TOTAL SALIDAS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(Q 668,513)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(Q 1,912,138)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(Q 4,346,705)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FLUJO NETO DEL PERÍODO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93,102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647,909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2,895,552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SALDO FINAL DE CAJA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93,102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741,011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3,636,563</w:t>
            </w:r>
          </w:p>
        </w:tc>
      </w:tr>
    </w:tbl>
    <w:p>
      <w:pPr>
        <w:spacing w:after="80" w:before="0"/>
      </w:pPr>
    </w:p>
    <w:p>
      <w:pPr>
        <w:spacing w:after="40" w:before="12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Figura 3. Saldo final de caja y flujo neto del período (Q)</w:t>
      </w:r>
    </w:p>
    <w:p>
      <w:r>
        <w:br w:type="page"/>
      </w:r>
    </w:p>
    <w:p>
      <w:pPr>
        <w:shd w:fill="1B3A6B" w:color="1B3A6B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6.  Punto de Equilibrio y Análisis de Sensibilidad</w:t>
      </w:r>
    </w:p>
    <w:p>
      <w:pPr>
        <w:spacing w:after="80" w:before="0"/>
      </w:pPr>
    </w:p>
    <w:p>
      <w:pPr>
        <w:pBdr>
          <w:bottom w:val="single" w:color="00B4D8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Punto de Equilibrio Operativo Mensual</w:t>
      </w:r>
    </w:p>
    <w:p>
      <w:pPr>
        <w:spacing w:after="80" w:before="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800"/>
        <w:gridCol w:w="1800"/>
        <w:gridCol w:w="1800"/>
        <w:gridCol w:w="1800"/>
        <w:gridCol w:w="21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Año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Precio Prom.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Costo Var.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Margen (%)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Costos Fijos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Equilibrio (clientes)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Año 1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3,900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239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93.9%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28,279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7.7 clientes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Año 2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5,600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342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93.9%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100,531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19.1 clientes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Año 3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7,125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436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93.9%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194,769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29.1 clientes</w:t>
            </w:r>
          </w:p>
        </w:tc>
      </w:tr>
    </w:tbl>
    <w:p>
      <w:pPr>
        <w:spacing w:after="80" w:before="0"/>
      </w:pP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Hitos clave: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Mes 8: Primera utilidad mensual positiva (Q 2,462)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Mes 19: Recuperación definitiva de pérdidas acumuladas (Q 23,665 acumulados)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El modelo es considerablemente más sensible al precio de venta y costos fijos que al costo variable</w:t>
      </w:r>
    </w:p>
    <w:p>
      <w:pPr>
        <w:spacing w:after="80" w:before="0"/>
      </w:pPr>
    </w:p>
    <w:p>
      <w:pPr>
        <w:pBdr>
          <w:bottom w:val="single" w:color="00B4D8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Análisis de Sensibilidad — Año 1</w:t>
      </w:r>
    </w:p>
    <w:p>
      <w:pPr>
        <w:spacing w:after="80" w:before="0"/>
      </w:pPr>
    </w:p>
    <w:p>
      <w:pPr>
        <w:spacing w:after="40" w:before="12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Figura 4. Sensibilidad del punto de equilibrio ante variaciones en las variables clave</w:t>
      </w:r>
    </w:p>
    <w:p>
      <w:r>
        <w:br w:type="page"/>
      </w:r>
    </w:p>
    <w:p>
      <w:pPr>
        <w:shd w:fill="1B3A6B" w:color="1B3A6B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7.  Proyecciones Financieras — 3 Escenarios</w:t>
      </w:r>
    </w:p>
    <w:p>
      <w:pPr>
        <w:spacing w:after="80" w:before="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600"/>
        <w:gridCol w:w="2600"/>
        <w:gridCol w:w="26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Optimista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Pesimista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Crecimiento mensual clientes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7AE60"/>
                <w:sz w:val="18"/>
                <w:szCs w:val="18"/>
              </w:rPr>
              <w:t xml:space="preserve">8%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6%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3%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Churn mensual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7AE60"/>
                <w:sz w:val="18"/>
                <w:szCs w:val="18"/>
              </w:rPr>
              <w:t xml:space="preserve">1.0%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1.5%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3.0%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Utilidad neta Año 3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7AE60"/>
                <w:sz w:val="18"/>
                <w:szCs w:val="18"/>
              </w:rPr>
              <w:t xml:space="preserve">Q 3,600,000+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Q 2,812,158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Q 1,100,000+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Margen neto Año 3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7AE60"/>
                <w:sz w:val="18"/>
                <w:szCs w:val="18"/>
              </w:rPr>
              <w:t xml:space="preserve">42%+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38.7%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~25%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LTV / CAC Año 3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7AE60"/>
                <w:sz w:val="18"/>
                <w:szCs w:val="18"/>
              </w:rPr>
              <w:t xml:space="preserve">20x+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16.02x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8x+</w:t>
            </w:r>
          </w:p>
        </w:tc>
      </w:tr>
    </w:tbl>
    <w:p>
      <w:pPr>
        <w:spacing w:after="120" w:before="0"/>
      </w:pPr>
    </w:p>
    <w:p>
      <w:pPr>
        <w:shd w:fill="E8F8FB" w:color="E8F8FB" w:val="clear"/>
        <w:spacing w:after="60" w:before="60"/>
        <w:ind w:left="150" w:right="15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Interpretación: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Incluso en el escenario pesimista, con un churn del 3% y crecimiento conservador del 3% mensual, el negocio mantiene rentabilidad positiva en el Año 3 y un ratio LTV/CAC superior al umbral saludable de la industria (3x).</w:t>
      </w:r>
    </w:p>
    <w:p>
      <w:r>
        <w:br w:type="page"/>
      </w:r>
    </w:p>
    <w:p>
      <w:pPr>
        <w:shd w:fill="1B3A6B" w:color="1B3A6B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8.  Uso de la Inversión Inicial — Q 260,000</w:t>
      </w:r>
    </w:p>
    <w:p>
      <w:pPr>
        <w:spacing w:after="80" w:before="0"/>
      </w:pPr>
    </w:p>
    <w:p>
      <w:pPr>
        <w:spacing w:after="40" w:before="12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Figura 5. Distribución de la inversión inicial (Q 260,000)</w:t>
      </w:r>
    </w:p>
    <w:p>
      <w:pPr>
        <w:spacing w:after="80" w:before="0"/>
      </w:pP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La inversión se financia íntegramente con capital propio de los socios fundadores (sin deuda), distribuida en: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Q 140,000 (54%) — Capital de trabajo: sostiene los primeros 6 meses de operación antes de flujo positivo sostenido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Q 80,000 (31%) — Desarrollo del MVP: plataforma funcional con IA, dashboards y reportes automáticos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Q 25,000 (10%) — Equipo de cómputo y licencias de software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Q 15,000 (5%) — Constitución legal y gastos iniciales de la sociedad</w:t>
      </w:r>
    </w:p>
    <w:p>
      <w:pPr>
        <w:spacing w:after="80" w:before="0"/>
      </w:pP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Objetivo: alcanzar 16 clientes activos al cierre del Año 1 y generar MRR de Q 100,000+ al inicio del Año 2.</w:t>
      </w:r>
    </w:p>
    <w:p>
      <w:r>
        <w:br w:type="page"/>
      </w:r>
    </w:p>
    <w:p>
      <w:pPr>
        <w:shd w:fill="1B3A6B" w:color="1B3A6B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9.  Métricas Unitarias SaaS — CAC vs. LTV</w:t>
      </w:r>
    </w:p>
    <w:p>
      <w:pPr>
        <w:spacing w:after="80" w:before="0"/>
      </w:pPr>
    </w:p>
    <w:p>
      <w:pPr>
        <w:spacing w:after="40" w:before="12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Figura 6. Comparación CAC vs. LTV por año — el diferencial crece de 6.5x a 16x</w:t>
      </w:r>
    </w:p>
    <w:p>
      <w:pPr>
        <w:spacing w:after="80" w:before="0"/>
      </w:pPr>
    </w:p>
    <w:p>
      <w:pPr>
        <w:pBdr>
          <w:bottom w:val="single" w:color="00B4D8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Detalle por Año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2700"/>
        <w:gridCol w:w="2700"/>
        <w:gridCol w:w="27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Año 1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Año 3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Variación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CAC (Costo de Adquisición)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6,900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5,618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↓ -19%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LTV (Valor de Vida del Cliente)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45,000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90,000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↑ +100%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Ratio LTV / CAC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6.52x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16.02x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↑ +146%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Churn mensual asumido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1.5%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1.5%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Constante</w:t>
            </w:r>
          </w:p>
        </w:tc>
      </w:tr>
    </w:tbl>
    <w:p>
      <w:pPr>
        <w:spacing w:after="80" w:before="0"/>
      </w:pP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Estándar de la industria SaaS: LTV/CAC &gt; 3x se considera saludable. GuardIA supera este umbral desde el primer año (6.52x) y lo más que triplica en el Año 3 (16.02x), evidenciando un motor de crecimiento rentable y escalable.</w:t>
      </w:r>
    </w:p>
    <w:p>
      <w:r>
        <w:br w:type="page"/>
      </w:r>
    </w:p>
    <w:p>
      <w:pPr>
        <w:shd w:fill="1B3A6B" w:color="1B3A6B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10.  Balance General Proyectado</w:t>
      </w:r>
    </w:p>
    <w:p>
      <w:pPr>
        <w:spacing w:after="80" w:before="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2200"/>
        <w:gridCol w:w="2200"/>
        <w:gridCol w:w="22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Rubro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Año 1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Año 2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Año 3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Activos Corrientes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/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/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Efectivo y equivalentes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93,102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741,011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3,636,563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  Cuentas por cobrar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8,000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25,000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50,000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TOTAL ACTIVOS CORRIENTES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Q 101,102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766,011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3,686,563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Activo fijo neto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18,750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12,500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6,250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Activo intangible neto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76,000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57,000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38,000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TOTAL ACTIVOS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Q 195,852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835,511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3,730,813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TOTAL PASIVOS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Q 17,961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70,450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153,594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Capital social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260,000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260,000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260,000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Utilidades retenidas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(Q 82,109)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505,061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3,317,219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TOTAL PATRIMONIO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Q 177,891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765,061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3,577,219</w:t>
            </w:r>
          </w:p>
        </w:tc>
      </w:tr>
    </w:tbl>
    <w:p>
      <w:pPr>
        <w:spacing w:after="80" w:before="0"/>
      </w:pPr>
    </w:p>
    <w:p>
      <w:pPr>
        <w:spacing w:after="40" w:before="12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Figura 7. Evolución de activos, pasivos y patrimonio por año (Q)</w:t>
      </w:r>
    </w:p>
    <w:p>
      <w:pPr>
        <w:spacing w:after="80" w:before="0"/>
      </w:pP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La empresa opera sin apalancamiento financiero. El pasivo total representa solo el 9.2% del activo en el Año 1 y desciende al 4.1% en el Año 3, lo que demuestra solvencia financiera sólida y riesgo de insolvencia mínimo.</w:t>
      </w:r>
    </w:p>
    <w:p>
      <w:r>
        <w:br w:type="page"/>
      </w:r>
    </w:p>
    <w:p>
      <w:pPr>
        <w:shd w:fill="1B3A6B" w:color="1B3A6B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11.  Evaluación Financiera — VAN, TIR y ROI</w:t>
      </w:r>
    </w:p>
    <w:p>
      <w:pPr>
        <w:spacing w:after="80" w:before="0"/>
      </w:pP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Flujos utilizados para el cálculo (con WACC del 15%, estándar para startups tecnológicas en la región):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Momento 0 (Inversión): (Q 260,000)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Año 1 (Flujo operativo neto): (Q 166,898)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Año 2 (Flujo neto): Q 647,909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Año 3 (Flujo neto): Q 2,895,552</w:t>
      </w:r>
    </w:p>
    <w:p>
      <w:pPr>
        <w:spacing w:after="80" w:before="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3000"/>
        <w:gridCol w:w="36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shd w:fill="1B3A6B" w:color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Interpretación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VAN (WACC 15%)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1,988,656</w:t>
            </w:r>
          </w:p>
        </w:tc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Altamente viable — Valor positivo sustancial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TIR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137.72%</w:t>
            </w:r>
          </w:p>
        </w:tc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Supera ampliamente el WACC (15%)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ROI (36 meses)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1,275%</w:t>
            </w:r>
          </w:p>
        </w:tc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12.76 generados por cada Q 1 invertido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Inversión inicial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260,000</w:t>
            </w:r>
          </w:p>
        </w:tc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100% capital propio — sin deuda</w:t>
            </w:r>
          </w:p>
        </w:tc>
      </w:tr>
      <w:tr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Flujo Neto Año 2</w:t>
            </w:r>
          </w:p>
        </w:tc>
        <w:tc>
          <w:tcPr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 647,909</w:t>
            </w:r>
          </w:p>
        </w:tc>
        <w:tc>
          <w:tcPr>
            <w:shd w:fill="FFFFFF" w:color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2.5x la inversión inicial en un solo año</w:t>
            </w:r>
          </w:p>
        </w:tc>
      </w:tr>
      <w:tr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Flujo Neto Año 3</w:t>
            </w:r>
          </w:p>
        </w:tc>
        <w:tc>
          <w:tcPr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Q 2,895,552</w:t>
            </w:r>
          </w:p>
        </w:tc>
        <w:tc>
          <w:tcPr>
            <w:shd w:fill="F5F7FA" w:color="F5F7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11x la inversión inicial en el Año 3</w:t>
            </w:r>
          </w:p>
        </w:tc>
      </w:tr>
    </w:tbl>
    <w:p>
      <w:pPr>
        <w:spacing w:after="80" w:before="0"/>
      </w:pPr>
    </w:p>
    <w:p>
      <w:pPr>
        <w:shd w:fill="E8F8FB" w:color="E8F8FB" w:val="clear"/>
        <w:spacing w:after="80" w:before="80"/>
        <w:ind w:left="150" w:right="15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Conclusión: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La TIR del 137.72% ratifica que los flujos del Año 2 y Año 3 compensan la pérdida del Año 1 con un margen extraordinario. El VAN positivo de casi Q 2 millones demuestra generación de valor económico real sobre el costo de oportunidad.</w:t>
      </w:r>
    </w:p>
    <w:p>
      <w:r>
        <w:br w:type="page"/>
      </w:r>
    </w:p>
    <w:p>
      <w:pPr>
        <w:shd w:fill="00B4D8" w:color="00B4D8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Conclusión del Pitch Financiero</w:t>
      </w:r>
    </w:p>
    <w:p>
      <w:pPr>
        <w:spacing w:after="80" w:before="0"/>
      </w:pP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GuardIA demuestra un modelo financiero sólido, escalable y con alta rentabilidad. Los indicadores clave confirman su viabilidad y atractivo para inversión:</w:t>
      </w:r>
    </w:p>
    <w:p>
      <w:pPr>
        <w:spacing w:after="80" w:before="0"/>
      </w:pP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VAN de Q 1,988,656 y TIR del 137.72% — Muy por encima del costo de oportunidad del 15%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ROI del 1,275% en 36 meses — Q 12.76 por cada Q 1 invertido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LTV/CAC de 6.52x en Año 1 y 16.02x en Año 3 — Motor de crecimiento excepcional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Flujo de caja positivo durante los 36 meses proyectados — Sin riesgo de insolvencia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Break-even en Mes 8 y recuperación total de pérdidas en Mes 19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Márgenes brutos &gt;86% y margen neto del 38.7% en el Año 3</w:t>
      </w:r>
    </w:p>
    <w:p>
      <w:pPr>
        <w:spacing w:after="50" w:before="30"/>
      </w:pPr>
      <w:r>
        <w:rPr>
          <w:rFonts w:ascii="Calibri" w:cs="Calibri" w:eastAsia="Calibri" w:hAnsi="Calibri"/>
          <w:b/>
          <w:bCs/>
          <w:color w:val="00B4D8"/>
          <w:sz w:val="20"/>
          <w:szCs w:val="20"/>
        </w:rPr>
        <w:t xml:space="preserve">  ▸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Estructura de capital conservadora — Sin deuda, financiado íntegramente por socios</w:t>
      </w:r>
    </w:p>
    <w:p>
      <w:pPr>
        <w:spacing w:after="120" w:before="0"/>
      </w:pPr>
    </w:p>
    <w:p>
      <w:pPr>
        <w:shd w:fill="F5F7FA" w:color="F5F7FA" w:val="clear"/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GuardIA no es solo un negocio rentable — es la solución que Guatemala necesita.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Ciberseguridad preventiva, accesible e inteligente para las instituciones de Guatemala.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b8f2cef747f05fb5192969e51f13040f405ea46.png"/><Relationship Id="rId8" Type="http://schemas.openxmlformats.org/officeDocument/2006/relationships/image" Target="media/85ca9a7d9929de3e2ed2cc2f3d83315609760b06.png"/><Relationship Id="rId9" Type="http://schemas.openxmlformats.org/officeDocument/2006/relationships/image" Target="media/521b1fe15227953d53f1f3c8e407c5cd346b9c94.png"/><Relationship Id="rId10" Type="http://schemas.openxmlformats.org/officeDocument/2006/relationships/image" Target="media/a15a2edb18ee9317e4170f97e6785a7e89cd7c23.png"/><Relationship Id="rId11" Type="http://schemas.openxmlformats.org/officeDocument/2006/relationships/image" Target="media/44fe555c3b1128543f3d319b0e0fd37e391b2dcc.png"/><Relationship Id="rId12" Type="http://schemas.openxmlformats.org/officeDocument/2006/relationships/image" Target="media/d85537a644c11bb8b51999ea2dd7f86d21eec1bd.png"/><Relationship Id="rId13" Type="http://schemas.openxmlformats.org/officeDocument/2006/relationships/image" Target="media/bfe8793dd7991fb55e690d43ce942eee2d9d239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2026-09-04T21:45:33.992Z</dcterms:created>
  <dcterms:modified xsi:type="dcterms:W3CDTF">2026-09-04T21:45:34.005Z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