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Arial" w:cs="Arial" w:eastAsia="Arial" w:hAnsi="Arial"/>
          <w:b/>
          <w:bCs/>
          <w:i w:val="false"/>
          <w:iCs w:val="false"/>
          <w:sz w:val="28"/>
          <w:szCs w:val="28"/>
        </w:rPr>
        <w:t xml:space="preserve">Universidad Mariano Gálvez de Guatemala</w:t>
      </w:r>
    </w:p>
    <w:p>
      <w:pPr>
        <w:spacing w:after="800"/>
        <w:jc w:val="center"/>
      </w:pPr>
      <w:r>
        <w:rPr>
          <w:rFonts w:ascii="Arial" w:cs="Arial" w:eastAsia="Arial" w:hAnsi="Arial"/>
          <w:b/>
          <w:bCs/>
          <w:i w:val="false"/>
          <w:iCs w:val="false"/>
          <w:sz w:val="24"/>
          <w:szCs w:val="24"/>
        </w:rPr>
        <w:t xml:space="preserve">Facultad de Ingeniería en Sistemas de Información y Ciencias de la Computación</w:t>
      </w:r>
    </w:p>
    <w:p>
      <w:pPr>
        <w:spacing w:after="800"/>
      </w:pPr>
    </w:p>
    <w:p>
      <w:pPr>
        <w:spacing w:after="200"/>
        <w:jc w:val="center"/>
      </w:pPr>
      <w:r>
        <w:rPr>
          <w:rFonts w:ascii="Arial" w:cs="Arial" w:eastAsia="Arial" w:hAnsi="Arial"/>
          <w:b/>
          <w:bCs/>
          <w:i w:val="false"/>
          <w:iCs w:val="false"/>
          <w:sz w:val="30"/>
          <w:szCs w:val="30"/>
        </w:rPr>
        <w:t xml:space="preserve">Etapa Previa Individual del Proyecto Final</w:t>
      </w:r>
    </w:p>
    <w:p>
      <w:pPr>
        <w:spacing w:after="200"/>
        <w:jc w:val="center"/>
      </w:pPr>
      <w:r>
        <w:rPr>
          <w:rFonts w:ascii="Arial" w:cs="Arial" w:eastAsia="Arial" w:hAnsi="Arial"/>
          <w:b/>
          <w:bCs/>
          <w:i w:val="false"/>
          <w:iCs w:val="false"/>
          <w:sz w:val="26"/>
          <w:szCs w:val="26"/>
        </w:rPr>
        <w:t xml:space="preserve">Investigación de Modelos de Gestión de Riesgos Informáticos</w:t>
      </w:r>
    </w:p>
    <w:p>
      <w:pPr>
        <w:spacing w:after="200"/>
        <w:jc w:val="center"/>
      </w:pPr>
      <w:r>
        <w:rPr>
          <w:rFonts w:ascii="Arial" w:cs="Arial" w:eastAsia="Arial" w:hAnsi="Arial"/>
          <w:b w:val="false"/>
          <w:bCs w:val="false"/>
          <w:i/>
          <w:iCs/>
          <w:sz w:val="24"/>
          <w:szCs w:val="24"/>
        </w:rPr>
        <w:t xml:space="preserve">Análisis de los modelos MAGERIT y OCTAVE aplicados a la identificación de activos, amenazas y vulnerabilidades</w:t>
      </w:r>
    </w:p>
    <w:p>
      <w:pPr>
        <w:spacing w:after="1200"/>
      </w:pPr>
    </w:p>
    <w:p>
      <w:pPr>
        <w:spacing w:after="100"/>
        <w:jc w:val="center"/>
      </w:pPr>
      <w:r>
        <w:rPr>
          <w:rFonts w:ascii="Arial" w:cs="Arial" w:eastAsia="Arial" w:hAnsi="Arial"/>
          <w:b/>
          <w:bCs/>
          <w:i w:val="false"/>
          <w:iCs w:val="false"/>
          <w:sz w:val="24"/>
          <w:szCs w:val="24"/>
        </w:rPr>
        <w:t xml:space="preserve">Estudiante:</w:t>
      </w:r>
    </w:p>
    <w:p>
      <w:pPr>
        <w:spacing w:after="100"/>
        <w:jc w:val="center"/>
      </w:pPr>
      <w:r>
        <w:rPr>
          <w:rFonts w:ascii="Arial" w:cs="Arial" w:eastAsia="Arial" w:hAnsi="Arial"/>
          <w:b w:val="false"/>
          <w:bCs w:val="false"/>
          <w:i w:val="false"/>
          <w:iCs w:val="false"/>
          <w:sz w:val="24"/>
          <w:szCs w:val="24"/>
        </w:rPr>
        <w:t xml:space="preserve">[Nombre completo del estudiante]</w:t>
      </w:r>
    </w:p>
    <w:p>
      <w:pPr>
        <w:spacing w:after="100"/>
        <w:jc w:val="center"/>
      </w:pPr>
      <w:r>
        <w:rPr>
          <w:rFonts w:ascii="Arial" w:cs="Arial" w:eastAsia="Arial" w:hAnsi="Arial"/>
          <w:b w:val="false"/>
          <w:bCs w:val="false"/>
          <w:i w:val="false"/>
          <w:iCs w:val="false"/>
          <w:sz w:val="24"/>
          <w:szCs w:val="24"/>
        </w:rPr>
        <w:t xml:space="preserve">Carné: [000-00-0000]</w:t>
      </w:r>
    </w:p>
    <w:p>
      <w:pPr>
        <w:spacing w:after="600"/>
      </w:pPr>
    </w:p>
    <w:p>
      <w:pPr>
        <w:spacing w:after="100"/>
        <w:jc w:val="center"/>
      </w:pPr>
      <w:r>
        <w:rPr>
          <w:rFonts w:ascii="Arial" w:cs="Arial" w:eastAsia="Arial" w:hAnsi="Arial"/>
          <w:b w:val="false"/>
          <w:bCs w:val="false"/>
          <w:i w:val="false"/>
          <w:iCs w:val="false"/>
          <w:sz w:val="24"/>
          <w:szCs w:val="24"/>
        </w:rPr>
        <w:t xml:space="preserve">Curso: Seguridad Informática</w:t>
      </w:r>
    </w:p>
    <w:p>
      <w:pPr>
        <w:spacing w:after="100"/>
        <w:jc w:val="center"/>
      </w:pPr>
      <w:r>
        <w:rPr>
          <w:rFonts w:ascii="Arial" w:cs="Arial" w:eastAsia="Arial" w:hAnsi="Arial"/>
          <w:b w:val="false"/>
          <w:bCs w:val="false"/>
          <w:i w:val="false"/>
          <w:iCs w:val="false"/>
          <w:sz w:val="24"/>
          <w:szCs w:val="24"/>
        </w:rPr>
        <w:t xml:space="preserve">Catedrático: [Nombre del catedrático]</w:t>
      </w:r>
    </w:p>
    <w:p>
      <w:pPr>
        <w:spacing w:after="100"/>
        <w:jc w:val="center"/>
      </w:pPr>
      <w:r>
        <w:rPr>
          <w:rFonts w:ascii="Arial" w:cs="Arial" w:eastAsia="Arial" w:hAnsi="Arial"/>
          <w:b w:val="false"/>
          <w:bCs w:val="false"/>
          <w:i w:val="false"/>
          <w:iCs w:val="false"/>
          <w:sz w:val="24"/>
          <w:szCs w:val="24"/>
        </w:rPr>
        <w:t xml:space="preserve">Sección: [Sección]</w:t>
      </w:r>
    </w:p>
    <w:p>
      <w:pPr>
        <w:spacing w:after="800"/>
      </w:pPr>
    </w:p>
    <w:p>
      <w:pPr>
        <w:jc w:val="center"/>
      </w:pPr>
      <w:r>
        <w:rPr>
          <w:rFonts w:ascii="Arial" w:cs="Arial" w:eastAsia="Arial" w:hAnsi="Arial"/>
          <w:b w:val="false"/>
          <w:bCs w:val="false"/>
          <w:i w:val="false"/>
          <w:iCs w:val="false"/>
          <w:sz w:val="24"/>
          <w:szCs w:val="24"/>
        </w:rPr>
        <w:t xml:space="preserve">Guatemala, julio de 2026</w:t>
      </w:r>
    </w:p>
    <w:p>
      <w:pPr>
        <w:sectPr>
          <w:pgSz w:w="12240" w:h="15840" w:orient="portrait"/>
          <w:pgMar w:top="1701" w:right="1417" w:bottom="1701" w:left="1984" w:header="708" w:footer="708" w:gutter="0"/>
          <w:pgNumType/>
          <w:docGrid w:linePitch="360"/>
        </w:sectPr>
      </w:pPr>
    </w:p>
    <w:p>
      <w:pPr>
        <w:spacing w:after="400"/>
        <w:jc w:val="center"/>
      </w:pPr>
      <w:r>
        <w:rPr>
          <w:rFonts w:ascii="Arial" w:cs="Arial" w:eastAsia="Arial" w:hAnsi="Arial"/>
          <w:b/>
          <w:bCs/>
          <w:i w:val="false"/>
          <w:iCs w:val="false"/>
          <w:sz w:val="30"/>
          <w:szCs w:val="30"/>
        </w:rPr>
        <w:t xml:space="preserve">Tabla de Contenido</w:t>
      </w:r>
    </w:p>
    <w:p>
      <w:pPr>
        <w:tabs>
          <w:tab w:val="right" w:pos="9350" w:leader="dot"/>
        </w:tabs>
        <w:spacing w:after="140"/>
      </w:pPr>
      <w:r>
        <w:rPr>
          <w:rFonts w:ascii="Arial" w:cs="Arial" w:eastAsia="Arial" w:hAnsi="Arial"/>
          <w:b/>
          <w:bCs/>
          <w:sz w:val="24"/>
          <w:szCs w:val="24"/>
        </w:rPr>
        <w:t xml:space="preserve">Introducción</w:t>
      </w:r>
      <w:r>
        <w:rPr>
          <w:rFonts w:ascii="Arial" w:cs="Arial" w:eastAsia="Arial" w:hAnsi="Arial"/>
          <w:b/>
          <w:bCs/>
          <w:sz w:val="24"/>
          <w:szCs w:val="24"/>
        </w:rPr>
        <w:t xml:space="preserve">	1</w:t>
      </w:r>
    </w:p>
    <w:p>
      <w:pPr>
        <w:tabs>
          <w:tab w:val="right" w:pos="9350" w:leader="dot"/>
        </w:tabs>
        <w:spacing w:after="140"/>
      </w:pPr>
      <w:r>
        <w:rPr>
          <w:rFonts w:ascii="Arial" w:cs="Arial" w:eastAsia="Arial" w:hAnsi="Arial"/>
          <w:b/>
          <w:bCs/>
          <w:sz w:val="24"/>
          <w:szCs w:val="24"/>
        </w:rPr>
        <w:t xml:space="preserve">Desarrollo</w:t>
      </w:r>
      <w:r>
        <w:rPr>
          <w:rFonts w:ascii="Arial" w:cs="Arial" w:eastAsia="Arial" w:hAnsi="Arial"/>
          <w:b/>
          <w:bCs/>
          <w:sz w:val="24"/>
          <w:szCs w:val="24"/>
        </w:rPr>
        <w:t xml:space="preserve">	1</w:t>
      </w:r>
    </w:p>
    <w:p>
      <w:pPr>
        <w:tabs>
          <w:tab w:val="right" w:pos="9350" w:leader="dot"/>
        </w:tabs>
        <w:spacing w:after="140"/>
        <w:ind w:left="500"/>
      </w:pPr>
      <w:r>
        <w:rPr>
          <w:rFonts w:ascii="Arial" w:cs="Arial" w:eastAsia="Arial" w:hAnsi="Arial"/>
          <w:b w:val="false"/>
          <w:bCs w:val="false"/>
          <w:sz w:val="24"/>
          <w:szCs w:val="24"/>
        </w:rPr>
        <w:t xml:space="preserve">Fundamentos de la gestión de riesgos en seguridad informática</w:t>
      </w:r>
      <w:r>
        <w:rPr>
          <w:rFonts w:ascii="Arial" w:cs="Arial" w:eastAsia="Arial" w:hAnsi="Arial"/>
          <w:b w:val="false"/>
          <w:bCs w:val="false"/>
          <w:sz w:val="24"/>
          <w:szCs w:val="24"/>
        </w:rPr>
        <w:t xml:space="preserve">	1</w:t>
      </w:r>
    </w:p>
    <w:p>
      <w:pPr>
        <w:tabs>
          <w:tab w:val="right" w:pos="9350" w:leader="dot"/>
        </w:tabs>
        <w:spacing w:after="140"/>
        <w:ind w:left="500"/>
      </w:pPr>
      <w:r>
        <w:rPr>
          <w:rFonts w:ascii="Arial" w:cs="Arial" w:eastAsia="Arial" w:hAnsi="Arial"/>
          <w:b w:val="false"/>
          <w:bCs w:val="false"/>
          <w:sz w:val="24"/>
          <w:szCs w:val="24"/>
        </w:rPr>
        <w:t xml:space="preserve">Identificación y clasificación de activos informáticos</w:t>
      </w:r>
      <w:r>
        <w:rPr>
          <w:rFonts w:ascii="Arial" w:cs="Arial" w:eastAsia="Arial" w:hAnsi="Arial"/>
          <w:b w:val="false"/>
          <w:bCs w:val="false"/>
          <w:sz w:val="24"/>
          <w:szCs w:val="24"/>
        </w:rPr>
        <w:t xml:space="preserve">	2</w:t>
      </w:r>
    </w:p>
    <w:p>
      <w:pPr>
        <w:tabs>
          <w:tab w:val="right" w:pos="9350" w:leader="dot"/>
        </w:tabs>
        <w:spacing w:after="140"/>
        <w:ind w:left="500"/>
      </w:pPr>
      <w:r>
        <w:rPr>
          <w:rFonts w:ascii="Arial" w:cs="Arial" w:eastAsia="Arial" w:hAnsi="Arial"/>
          <w:b w:val="false"/>
          <w:bCs w:val="false"/>
          <w:sz w:val="24"/>
          <w:szCs w:val="24"/>
        </w:rPr>
        <w:t xml:space="preserve">Amenazas, vulnerabilidades, brechas y criticidad</w:t>
      </w:r>
      <w:r>
        <w:rPr>
          <w:rFonts w:ascii="Arial" w:cs="Arial" w:eastAsia="Arial" w:hAnsi="Arial"/>
          <w:b w:val="false"/>
          <w:bCs w:val="false"/>
          <w:sz w:val="24"/>
          <w:szCs w:val="24"/>
        </w:rPr>
        <w:t xml:space="preserve">	3</w:t>
      </w:r>
    </w:p>
    <w:p>
      <w:pPr>
        <w:tabs>
          <w:tab w:val="right" w:pos="9350" w:leader="dot"/>
        </w:tabs>
        <w:spacing w:after="140"/>
        <w:ind w:left="500"/>
      </w:pPr>
      <w:r>
        <w:rPr>
          <w:rFonts w:ascii="Arial" w:cs="Arial" w:eastAsia="Arial" w:hAnsi="Arial"/>
          <w:b w:val="false"/>
          <w:bCs w:val="false"/>
          <w:sz w:val="24"/>
          <w:szCs w:val="24"/>
        </w:rPr>
        <w:t xml:space="preserve">Modelo MAGERIT: principios, estructura y aplicación</w:t>
      </w:r>
      <w:r>
        <w:rPr>
          <w:rFonts w:ascii="Arial" w:cs="Arial" w:eastAsia="Arial" w:hAnsi="Arial"/>
          <w:b w:val="false"/>
          <w:bCs w:val="false"/>
          <w:sz w:val="24"/>
          <w:szCs w:val="24"/>
        </w:rPr>
        <w:t xml:space="preserve">	4</w:t>
      </w:r>
    </w:p>
    <w:p>
      <w:pPr>
        <w:tabs>
          <w:tab w:val="right" w:pos="9350" w:leader="dot"/>
        </w:tabs>
        <w:spacing w:after="140"/>
        <w:ind w:left="500"/>
      </w:pPr>
      <w:r>
        <w:rPr>
          <w:rFonts w:ascii="Arial" w:cs="Arial" w:eastAsia="Arial" w:hAnsi="Arial"/>
          <w:b w:val="false"/>
          <w:bCs w:val="false"/>
          <w:sz w:val="24"/>
          <w:szCs w:val="24"/>
        </w:rPr>
        <w:t xml:space="preserve">Modelo OCTAVE: enfoque organizacional y priorización de activos</w:t>
      </w:r>
      <w:r>
        <w:rPr>
          <w:rFonts w:ascii="Arial" w:cs="Arial" w:eastAsia="Arial" w:hAnsi="Arial"/>
          <w:b w:val="false"/>
          <w:bCs w:val="false"/>
          <w:sz w:val="24"/>
          <w:szCs w:val="24"/>
        </w:rPr>
        <w:t xml:space="preserve">	5</w:t>
      </w:r>
    </w:p>
    <w:p>
      <w:pPr>
        <w:tabs>
          <w:tab w:val="right" w:pos="9350" w:leader="dot"/>
        </w:tabs>
        <w:spacing w:after="140"/>
      </w:pPr>
      <w:r>
        <w:rPr>
          <w:rFonts w:ascii="Arial" w:cs="Arial" w:eastAsia="Arial" w:hAnsi="Arial"/>
          <w:b/>
          <w:bCs/>
          <w:sz w:val="24"/>
          <w:szCs w:val="24"/>
        </w:rPr>
        <w:t xml:space="preserve">Conclusiones</w:t>
      </w:r>
      <w:r>
        <w:rPr>
          <w:rFonts w:ascii="Arial" w:cs="Arial" w:eastAsia="Arial" w:hAnsi="Arial"/>
          <w:b/>
          <w:bCs/>
          <w:sz w:val="24"/>
          <w:szCs w:val="24"/>
        </w:rPr>
        <w:t xml:space="preserve">	7</w:t>
      </w:r>
    </w:p>
    <w:p>
      <w:pPr>
        <w:tabs>
          <w:tab w:val="right" w:pos="9350" w:leader="dot"/>
        </w:tabs>
        <w:spacing w:after="140"/>
      </w:pPr>
      <w:r>
        <w:rPr>
          <w:rFonts w:ascii="Arial" w:cs="Arial" w:eastAsia="Arial" w:hAnsi="Arial"/>
          <w:b/>
          <w:bCs/>
          <w:sz w:val="24"/>
          <w:szCs w:val="24"/>
        </w:rPr>
        <w:t xml:space="preserve">Referencias</w:t>
      </w:r>
      <w:r>
        <w:rPr>
          <w:rFonts w:ascii="Arial" w:cs="Arial" w:eastAsia="Arial" w:hAnsi="Arial"/>
          <w:b/>
          <w:bCs/>
          <w:sz w:val="24"/>
          <w:szCs w:val="24"/>
        </w:rPr>
        <w:t xml:space="preserve">	8</w:t>
      </w:r>
    </w:p>
    <w:p>
      <w:pPr>
        <w:tabs>
          <w:tab w:val="right" w:pos="9350" w:leader="dot"/>
        </w:tabs>
        <w:spacing w:after="140"/>
      </w:pPr>
      <w:r>
        <w:rPr>
          <w:rFonts w:ascii="Arial" w:cs="Arial" w:eastAsia="Arial" w:hAnsi="Arial"/>
          <w:b/>
          <w:bCs/>
          <w:sz w:val="24"/>
          <w:szCs w:val="24"/>
        </w:rPr>
        <w:t xml:space="preserve">Anexos</w:t>
      </w:r>
      <w:r>
        <w:rPr>
          <w:rFonts w:ascii="Arial" w:cs="Arial" w:eastAsia="Arial" w:hAnsi="Arial"/>
          <w:b/>
          <w:bCs/>
          <w:sz w:val="24"/>
          <w:szCs w:val="24"/>
        </w:rPr>
        <w:t xml:space="preserve">	8</w:t>
      </w:r>
    </w:p>
    <w:p>
      <w:r>
        <w:br w:type="page"/>
      </w:r>
    </w:p>
    <w:p>
      <w:pPr>
        <w:spacing w:after="300"/>
        <w:jc w:val="center"/>
      </w:pPr>
      <w:r>
        <w:rPr>
          <w:rFonts w:ascii="Arial" w:cs="Arial" w:eastAsia="Arial" w:hAnsi="Arial"/>
          <w:b/>
          <w:bCs/>
          <w:i w:val="false"/>
          <w:iCs w:val="false"/>
          <w:sz w:val="26"/>
          <w:szCs w:val="26"/>
        </w:rPr>
        <w:t xml:space="preserve">Índice de Ilustraciones</w:t>
      </w:r>
    </w:p>
    <w:p>
      <w:pPr>
        <w:spacing w:after="200" w:line="360" w:lineRule="auto"/>
        <w:jc w:val="both"/>
      </w:pPr>
      <w:r>
        <w:rPr>
          <w:rFonts w:ascii="Arial" w:cs="Arial" w:eastAsia="Arial" w:hAnsi="Arial"/>
          <w:sz w:val="24"/>
          <w:szCs w:val="24"/>
        </w:rPr>
        <w:t xml:space="preserve">No aplica: el presente documento no incluye ilustraciones.</w:t>
      </w:r>
    </w:p>
    <w:p>
      <w:pPr>
        <w:spacing w:after="300"/>
      </w:pPr>
    </w:p>
    <w:p>
      <w:pPr>
        <w:spacing w:after="300"/>
        <w:jc w:val="center"/>
      </w:pPr>
      <w:r>
        <w:rPr>
          <w:rFonts w:ascii="Arial" w:cs="Arial" w:eastAsia="Arial" w:hAnsi="Arial"/>
          <w:b/>
          <w:bCs/>
          <w:i w:val="false"/>
          <w:iCs w:val="false"/>
          <w:sz w:val="26"/>
          <w:szCs w:val="26"/>
        </w:rPr>
        <w:t xml:space="preserve">Índice de Tablas</w:t>
      </w:r>
    </w:p>
    <w:p>
      <w:pPr>
        <w:spacing w:after="200" w:line="360" w:lineRule="auto"/>
        <w:jc w:val="both"/>
      </w:pPr>
      <w:r>
        <w:rPr>
          <w:rFonts w:ascii="Arial" w:cs="Arial" w:eastAsia="Arial" w:hAnsi="Arial"/>
          <w:sz w:val="24"/>
          <w:szCs w:val="24"/>
        </w:rPr>
        <w:t xml:space="preserve">Tabla 1. Comparación general entre los modelos MAGERIT y OCTAVE Allegro (ver Anexos)....... 9</w:t>
      </w:r>
    </w:p>
    <w:p>
      <w:pPr>
        <w:sectPr>
          <w:pgSz w:w="12240" w:h="15840" w:orient="portrait"/>
          <w:pgMar w:top="1701" w:right="1417" w:bottom="1701" w:left="1984" w:header="708" w:footer="708" w:gutter="0"/>
          <w:pgNumType/>
          <w:docGrid w:linePitch="360"/>
        </w:sectPr>
      </w:pPr>
    </w:p>
    <w:p>
      <w:pPr>
        <w:pStyle w:val="Heading1"/>
        <w:spacing w:after="200" w:before="300" w:line="360" w:lineRule="auto"/>
      </w:pPr>
      <w:r>
        <w:rPr>
          <w:rFonts w:ascii="Arial" w:cs="Arial" w:eastAsia="Arial" w:hAnsi="Arial"/>
          <w:b/>
          <w:bCs/>
          <w:color w:val="000000"/>
          <w:sz w:val="28"/>
          <w:szCs w:val="28"/>
        </w:rPr>
        <w:t xml:space="preserve">Introducción</w:t>
      </w:r>
    </w:p>
    <w:p>
      <w:pPr>
        <w:spacing w:after="200" w:line="360" w:lineRule="auto"/>
        <w:ind w:firstLine="720"/>
        <w:jc w:val="both"/>
      </w:pPr>
      <w:r>
        <w:rPr>
          <w:rFonts w:ascii="Arial" w:cs="Arial" w:eastAsia="Arial" w:hAnsi="Arial"/>
          <w:sz w:val="24"/>
          <w:szCs w:val="24"/>
        </w:rPr>
        <w:t xml:space="preserve">La información constituye uno de los activos más valiosos para cualquier organización, y su protección se ha convertido en una prioridad estratégica frente al incremento constante de amenazas informáticas. La gestión de riesgos de seguridad informática surge como una disciplina que permite identificar, valorar y tratar de manera sistemática los riesgos que afectan a los activos de información, con el fin de reducirlos a niveles aceptables para la organización.</w:t>
      </w:r>
    </w:p>
    <w:p>
      <w:pPr>
        <w:spacing w:after="200" w:line="360" w:lineRule="auto"/>
        <w:ind w:firstLine="720"/>
        <w:jc w:val="both"/>
      </w:pPr>
      <w:r>
        <w:rPr>
          <w:rFonts w:ascii="Arial" w:cs="Arial" w:eastAsia="Arial" w:hAnsi="Arial"/>
          <w:sz w:val="24"/>
          <w:szCs w:val="24"/>
        </w:rPr>
        <w:t xml:space="preserve">El presente trabajo tiene como propósito desarrollar una investigación bibliográfica que permita comprender los fundamentos conceptuales de la gestión de riesgos en seguridad informática, así como analizar en detalle dos de los modelos más reconocidos en este campo: MAGERIT y OCTAVE. Ambos modelos ofrecen marcos metodológicos estructurados para la identificación de activos, amenazas, vulnerabilidades y riesgos, aunque parten de enfoques y contextos de aplicación distintos.</w:t>
      </w:r>
    </w:p>
    <w:p>
      <w:pPr>
        <w:spacing w:after="200" w:line="360" w:lineRule="auto"/>
        <w:ind w:firstLine="720"/>
        <w:jc w:val="both"/>
      </w:pPr>
      <w:r>
        <w:rPr>
          <w:rFonts w:ascii="Arial" w:cs="Arial" w:eastAsia="Arial" w:hAnsi="Arial"/>
          <w:sz w:val="24"/>
          <w:szCs w:val="24"/>
        </w:rPr>
        <w:t xml:space="preserve">A lo largo del desarrollo se abordan los conceptos de activo, amenaza, vulnerabilidad, brecha y criticidad, elementos esenciales para comprender cualquier metodología de análisis de riesgos. Posteriormente se estudia la estructura, los principios y el proceso de aplicación del modelo MAGERIT, desarrollado por el gobierno español, y del modelo OCTAVE, en particular su variante OCTAVE Allegro, desarrollada por el Software Engineering Institute de la Universidad Carnegie Mellon. Finalmente, se presentan las conclusiones derivadas del análisis y una comparación general entre ambos modelos.</w:t>
      </w:r>
    </w:p>
    <w:p>
      <w:pPr>
        <w:pStyle w:val="Heading1"/>
        <w:spacing w:after="200" w:before="300" w:line="360" w:lineRule="auto"/>
      </w:pPr>
      <w:r>
        <w:rPr>
          <w:rFonts w:ascii="Arial" w:cs="Arial" w:eastAsia="Arial" w:hAnsi="Arial"/>
          <w:b/>
          <w:bCs/>
          <w:color w:val="000000"/>
          <w:sz w:val="28"/>
          <w:szCs w:val="28"/>
        </w:rPr>
        <w:t xml:space="preserve">Desarrollo</w:t>
      </w:r>
    </w:p>
    <w:p>
      <w:pPr>
        <w:pStyle w:val="Heading2"/>
        <w:spacing w:after="160" w:before="240" w:line="360" w:lineRule="auto"/>
      </w:pPr>
      <w:r>
        <w:rPr>
          <w:rFonts w:ascii="Arial" w:cs="Arial" w:eastAsia="Arial" w:hAnsi="Arial"/>
          <w:b/>
          <w:bCs/>
          <w:color w:val="000000"/>
          <w:sz w:val="26"/>
          <w:szCs w:val="26"/>
        </w:rPr>
        <w:t xml:space="preserve">Fundamentos de la gestión de riesgos en seguridad informática</w:t>
      </w:r>
    </w:p>
    <w:p>
      <w:pPr>
        <w:spacing w:after="200" w:line="360" w:lineRule="auto"/>
        <w:ind w:firstLine="720"/>
        <w:jc w:val="both"/>
      </w:pPr>
      <w:r>
        <w:rPr>
          <w:rFonts w:ascii="Arial" w:cs="Arial" w:eastAsia="Arial" w:hAnsi="Arial"/>
          <w:sz w:val="24"/>
          <w:szCs w:val="24"/>
        </w:rPr>
        <w:t xml:space="preserve">La gestión de riesgos de seguridad informática es un proceso continuo que busca identificar los eventos que podrían afectar negativamente a los activos de información de una organización, estimar la probabilidad de que ocurran y el impacto que generarían, y definir las medidas de protección adecuadas para reducirlos a un nivel tolerable. Este proceso no elimina los riesgos por completo, sino que busca gestionarlos de forma racional, equilibrando el costo de las salvaguardas con el valor de los activos protegidos.</w:t>
      </w:r>
    </w:p>
    <w:p>
      <w:pPr>
        <w:spacing w:after="200" w:line="360" w:lineRule="auto"/>
        <w:ind w:firstLine="720"/>
        <w:jc w:val="both"/>
      </w:pPr>
      <w:r>
        <w:rPr>
          <w:rFonts w:ascii="Arial" w:cs="Arial" w:eastAsia="Arial" w:hAnsi="Arial"/>
          <w:sz w:val="24"/>
          <w:szCs w:val="24"/>
        </w:rPr>
        <w:t xml:space="preserve">De acuerdo con la norma ISO/IEC 27005, el proceso de gestión de riesgos se compone de varias etapas interrelacionadas: el establecimiento del contexto, la valoración del riesgo (que incluye la identificación, el análisis y la evaluación), el tratamiento del riesgo, la aceptación del riesgo, y la comunicación y monitoreo continuo. Este ciclo se repite de manera iterativa, ya que el entorno tecnológico y las amenazas evolucionan constantemente.</w:t>
      </w:r>
    </w:p>
    <w:p>
      <w:pPr>
        <w:spacing w:after="200" w:line="360" w:lineRule="auto"/>
        <w:ind w:firstLine="720"/>
        <w:jc w:val="both"/>
      </w:pPr>
      <w:r>
        <w:rPr>
          <w:rFonts w:ascii="Arial" w:cs="Arial" w:eastAsia="Arial" w:hAnsi="Arial"/>
          <w:sz w:val="24"/>
          <w:szCs w:val="24"/>
        </w:rPr>
        <w:t xml:space="preserve">Existen distintas metodologías y marcos de referencia que operacionalizan este proceso, entre los que destacan MAGERIT, OCTAVE, NIST SP 800-30 y la propia familia de normas ISO/IEC 27000. Cada una de ellas propone una forma particular de estructurar el análisis, pero todas comparten un núcleo conceptual común: la relación entre activos, amenazas, vulnerabilidades e impactos como base para calcular el riesgo.</w:t>
      </w:r>
    </w:p>
    <w:p>
      <w:pPr>
        <w:pStyle w:val="Heading2"/>
        <w:spacing w:after="160" w:before="240" w:line="360" w:lineRule="auto"/>
      </w:pPr>
      <w:r>
        <w:rPr>
          <w:rFonts w:ascii="Arial" w:cs="Arial" w:eastAsia="Arial" w:hAnsi="Arial"/>
          <w:b/>
          <w:bCs/>
          <w:color w:val="000000"/>
          <w:sz w:val="26"/>
          <w:szCs w:val="26"/>
        </w:rPr>
        <w:t xml:space="preserve">Identificación y clasificación de activos informáticos</w:t>
      </w:r>
    </w:p>
    <w:p>
      <w:pPr>
        <w:spacing w:after="200" w:line="360" w:lineRule="auto"/>
        <w:ind w:firstLine="720"/>
        <w:jc w:val="both"/>
      </w:pPr>
      <w:r>
        <w:rPr>
          <w:rFonts w:ascii="Arial" w:cs="Arial" w:eastAsia="Arial" w:hAnsi="Arial"/>
          <w:sz w:val="24"/>
          <w:szCs w:val="24"/>
        </w:rPr>
        <w:t xml:space="preserve">Un activo de información es todo elemento que tiene valor para la organización y que, por lo tanto, requiere protección. Los activos no se limitan al hardware o al software; también incluyen los datos, los servicios, las aplicaciones, las comunicaciones, el personal, las instalaciones físicas y la reputación institucional. La correcta identificación de los activos es el punto de partida de cualquier análisis de riesgos, ya que sobre ellos recaen las amenazas y se materializan los impactos.</w:t>
      </w:r>
    </w:p>
    <w:p>
      <w:pPr>
        <w:spacing w:after="200" w:line="360" w:lineRule="auto"/>
        <w:ind w:firstLine="720"/>
        <w:jc w:val="both"/>
      </w:pPr>
      <w:r>
        <w:rPr>
          <w:rFonts w:ascii="Arial" w:cs="Arial" w:eastAsia="Arial" w:hAnsi="Arial"/>
          <w:sz w:val="24"/>
          <w:szCs w:val="24"/>
        </w:rPr>
        <w:t xml:space="preserve">Para facilitar su gestión, los activos suelen clasificarse en categorías, entre las que se pueden mencionar los activos esenciales (información y servicios que la organización presta), los activos de soporte (equipos, aplicaciones, redes y comunicaciones), el personal, las instalaciones y los activos intangibles, como la imagen institucional. Esta clasificación permite establecer relaciones de dependencia entre activos: un activo superior, como un servicio, depende de activos inferiores, como los servidores o las aplicaciones que lo sostienen, de manera que un incidente en un activo inferior puede propagar su efecto hacia los activos que dependen de él.</w:t>
      </w:r>
    </w:p>
    <w:p>
      <w:pPr>
        <w:spacing w:after="200" w:line="360" w:lineRule="auto"/>
        <w:ind w:firstLine="720"/>
        <w:jc w:val="both"/>
      </w:pPr>
      <w:r>
        <w:rPr>
          <w:rFonts w:ascii="Arial" w:cs="Arial" w:eastAsia="Arial" w:hAnsi="Arial"/>
          <w:sz w:val="24"/>
          <w:szCs w:val="24"/>
        </w:rPr>
        <w:t xml:space="preserve">Además de identificar los activos, es necesario valorarlos en función de las dimensiones de seguridad que les son aplicables, principalmente confidencialidad, integridad, disponibilidad, autenticidad y trazabilidad. Esta valoración permite priorizar los esfuerzos de protección hacia aquellos activos cuya pérdida o deterioro tendría mayor impacto para la organización.</w:t>
      </w:r>
    </w:p>
    <w:p>
      <w:pPr>
        <w:pStyle w:val="Heading2"/>
        <w:spacing w:after="160" w:before="240" w:line="360" w:lineRule="auto"/>
      </w:pPr>
      <w:r>
        <w:rPr>
          <w:rFonts w:ascii="Arial" w:cs="Arial" w:eastAsia="Arial" w:hAnsi="Arial"/>
          <w:b/>
          <w:bCs/>
          <w:color w:val="000000"/>
          <w:sz w:val="26"/>
          <w:szCs w:val="26"/>
        </w:rPr>
        <w:t xml:space="preserve">Amenazas, vulnerabilidades, brechas y criticidad</w:t>
      </w:r>
    </w:p>
    <w:p>
      <w:pPr>
        <w:spacing w:after="200" w:line="360" w:lineRule="auto"/>
        <w:ind w:firstLine="720"/>
        <w:jc w:val="both"/>
      </w:pPr>
      <w:r>
        <w:rPr>
          <w:rFonts w:ascii="Arial" w:cs="Arial" w:eastAsia="Arial" w:hAnsi="Arial"/>
          <w:sz w:val="24"/>
          <w:szCs w:val="24"/>
        </w:rPr>
        <w:t xml:space="preserve">Una amenaza es un evento potencial, de origen natural, humano o tecnológico, que puede causar un incidente no deseado y producir daño a un activo o a la organización. Las amenazas pueden ser accidentales, como errores humanos o fallas de hardware, o deliberadas, como ataques informáticos, robo de información o sabotaje.</w:t>
      </w:r>
    </w:p>
    <w:p>
      <w:pPr>
        <w:spacing w:after="200" w:line="360" w:lineRule="auto"/>
        <w:ind w:firstLine="720"/>
        <w:jc w:val="both"/>
      </w:pPr>
      <w:r>
        <w:rPr>
          <w:rFonts w:ascii="Arial" w:cs="Arial" w:eastAsia="Arial" w:hAnsi="Arial"/>
          <w:sz w:val="24"/>
          <w:szCs w:val="24"/>
        </w:rPr>
        <w:t xml:space="preserve">Una vulnerabilidad, por su parte, es una debilidad presente en un activo que puede ser aprovechada por una amenaza para materializarse en un incidente de seguridad. Las vulnerabilidades pueden originarse en fallas de configuración, ausencia de controles, software desactualizado, procesos deficientes o falta de capacitación del personal. La existencia de una vulnerabilidad no implica por sí sola un daño; es la combinación de una amenaza con una vulnerabilidad explotable la que da origen al riesgo.</w:t>
      </w:r>
    </w:p>
    <w:p>
      <w:pPr>
        <w:spacing w:after="200" w:line="360" w:lineRule="auto"/>
        <w:ind w:firstLine="720"/>
        <w:jc w:val="both"/>
      </w:pPr>
      <w:r>
        <w:rPr>
          <w:rFonts w:ascii="Arial" w:cs="Arial" w:eastAsia="Arial" w:hAnsi="Arial"/>
          <w:sz w:val="24"/>
          <w:szCs w:val="24"/>
        </w:rPr>
        <w:t xml:space="preserve">Cuando una amenaza logra explotar una vulnerabilidad y compromete efectivamente la confidencialidad, integridad o disponibilidad de un activo, se produce una brecha de seguridad. Las brechas pueden traducirse en fuga de información, interrupción de servicios, pérdida de integridad de los datos o accesos no autorizados, entre otras consecuencias.</w:t>
      </w:r>
    </w:p>
    <w:p>
      <w:pPr>
        <w:spacing w:after="200" w:line="360" w:lineRule="auto"/>
        <w:ind w:firstLine="720"/>
        <w:jc w:val="both"/>
      </w:pPr>
      <w:r>
        <w:rPr>
          <w:rFonts w:ascii="Arial" w:cs="Arial" w:eastAsia="Arial" w:hAnsi="Arial"/>
          <w:sz w:val="24"/>
          <w:szCs w:val="24"/>
        </w:rPr>
        <w:t xml:space="preserve">La criticidad es el grado de importancia que tiene un activo para el cumplimiento de la misión de la organización, y se determina en función del impacto que tendría su pérdida, alteración o indisponibilidad. Los activos de mayor criticidad son aquellos que, ante un incidente, generarían consecuencias más severas en términos operativos, económicos, legales o reputacionales, por lo que deben recibir un nivel de protección proporcional a su importancia.</w:t>
      </w:r>
    </w:p>
    <w:p>
      <w:pPr>
        <w:pStyle w:val="Heading2"/>
        <w:spacing w:after="160" w:before="240" w:line="360" w:lineRule="auto"/>
      </w:pPr>
      <w:r>
        <w:rPr>
          <w:rFonts w:ascii="Arial" w:cs="Arial" w:eastAsia="Arial" w:hAnsi="Arial"/>
          <w:b/>
          <w:bCs/>
          <w:color w:val="000000"/>
          <w:sz w:val="26"/>
          <w:szCs w:val="26"/>
        </w:rPr>
        <w:t xml:space="preserve">Modelo MAGERIT: principios, estructura y aplicación</w:t>
      </w:r>
    </w:p>
    <w:p>
      <w:pPr>
        <w:spacing w:after="200" w:line="360" w:lineRule="auto"/>
        <w:ind w:firstLine="720"/>
        <w:jc w:val="both"/>
      </w:pPr>
      <w:r>
        <w:rPr>
          <w:rFonts w:ascii="Arial" w:cs="Arial" w:eastAsia="Arial" w:hAnsi="Arial"/>
          <w:sz w:val="24"/>
          <w:szCs w:val="24"/>
        </w:rPr>
        <w:t xml:space="preserve">MAGERIT, cuyo nombre corresponde a la Metodología de Análisis y Gestión de Riesgos de los Sistemas de Información, fue desarrollada por el Consejo Superior de Administración Electrónica del Gobierno de España con el propósito de ofrecer un método sistemático para analizar los riesgos derivados del uso de tecnologías de la información. La versión vigente, MAGERIT v3, se publicó en octubre de 2012 y constituye una referencia obligada en el marco del Esquema Nacional de Seguridad español, además de ser ampliamente utilizada en organizaciones de habla hispana como guía de buenas prácticas.</w:t>
      </w:r>
    </w:p>
    <w:p>
      <w:pPr>
        <w:spacing w:after="200" w:line="360" w:lineRule="auto"/>
        <w:ind w:firstLine="720"/>
        <w:jc w:val="both"/>
      </w:pPr>
      <w:r>
        <w:rPr>
          <w:rFonts w:ascii="Arial" w:cs="Arial" w:eastAsia="Arial" w:hAnsi="Arial"/>
          <w:sz w:val="24"/>
          <w:szCs w:val="24"/>
        </w:rPr>
        <w:t xml:space="preserve">El modelo se organiza en tres libros complementarios: el Libro I, denominado "Método", que describe el proceso de análisis y gestión de riesgos; el Libro II, "Catálogo de Elementos", que ofrece una tipificación estandarizada de activos, amenazas y salvaguardas; y el Libro III, "Guía de Técnicas", que proporciona herramientas de apoyo como análisis mediante tablas, algoritmos y técnicas de valoración Delphi, entre otras.</w:t>
      </w:r>
    </w:p>
    <w:p>
      <w:pPr>
        <w:spacing w:after="200" w:line="360" w:lineRule="auto"/>
        <w:ind w:firstLine="720"/>
        <w:jc w:val="both"/>
      </w:pPr>
      <w:r>
        <w:rPr>
          <w:rFonts w:ascii="Arial" w:cs="Arial" w:eastAsia="Arial" w:hAnsi="Arial"/>
          <w:sz w:val="24"/>
          <w:szCs w:val="24"/>
        </w:rPr>
        <w:t xml:space="preserve">El núcleo metodológico de MAGERIT es el denominado Método de Análisis de Riesgos, que se desarrolla mediante una secuencia de pasos: la identificación y valoración de los activos, la identificación de las amenazas posibles sobre cada activo, la estimación de las vulnerabilidades y de la probabilidad de ocurrencia, y el cálculo del impacto y del riesgo resultante. A partir de estos resultados se identifican las salvaguardas apropiadas, se estima el riesgo residual que persiste después de aplicarlas, y se compara este valor con el nivel de riesgo aceptable definido por la organización, repitiendo el ciclo cuantas veces sea necesario hasta alcanzar niveles tolerables.</w:t>
      </w:r>
    </w:p>
    <w:p>
      <w:pPr>
        <w:spacing w:after="200" w:line="360" w:lineRule="auto"/>
        <w:ind w:firstLine="720"/>
        <w:jc w:val="both"/>
      </w:pPr>
      <w:r>
        <w:rPr>
          <w:rFonts w:ascii="Arial" w:cs="Arial" w:eastAsia="Arial" w:hAnsi="Arial"/>
          <w:sz w:val="24"/>
          <w:szCs w:val="24"/>
        </w:rPr>
        <w:t xml:space="preserve">Un elemento distintivo de MAGERIT es el concepto de dependencia entre activos, que reconoce que los activos superiores, como los servicios que percibe el usuario final, dependen de activos inferiores, como los sistemas y las comunicaciones que los soportan; de este modo, el deterioro de un activo inferior se propaga hacia los activos que dependen de él. Esta lógica de capas permite modelar de forma realista la complejidad de los sistemas de información de una organización y facilita la priorización de las salvaguardas.</w:t>
      </w:r>
    </w:p>
    <w:p>
      <w:pPr>
        <w:spacing w:after="200" w:line="360" w:lineRule="auto"/>
        <w:ind w:firstLine="720"/>
        <w:jc w:val="both"/>
      </w:pPr>
      <w:r>
        <w:rPr>
          <w:rFonts w:ascii="Arial" w:cs="Arial" w:eastAsia="Arial" w:hAnsi="Arial"/>
          <w:sz w:val="24"/>
          <w:szCs w:val="24"/>
        </w:rPr>
        <w:t xml:space="preserve">En la práctica, MAGERIT suele aplicarse con apoyo de la herramienta PILAR, desarrollada por el Centro Criptológico Nacional de España, que automatiza el cálculo de impacto y riesgo, y facilita la trazabilidad del análisis a lo largo de proyectos de distinta envergadura. Su enfoque estructurado y documentado lo convierte en un modelo especialmente adecuado para organizaciones públicas y entidades que deben cumplir marcos normativos formales.</w:t>
      </w:r>
    </w:p>
    <w:p>
      <w:pPr>
        <w:pStyle w:val="Heading2"/>
        <w:spacing w:after="160" w:before="240" w:line="360" w:lineRule="auto"/>
      </w:pPr>
      <w:r>
        <w:rPr>
          <w:rFonts w:ascii="Arial" w:cs="Arial" w:eastAsia="Arial" w:hAnsi="Arial"/>
          <w:b/>
          <w:bCs/>
          <w:color w:val="000000"/>
          <w:sz w:val="26"/>
          <w:szCs w:val="26"/>
        </w:rPr>
        <w:t xml:space="preserve">Modelo OCTAVE: enfoque organizacional y priorización de activos</w:t>
      </w:r>
    </w:p>
    <w:p>
      <w:pPr>
        <w:spacing w:after="200" w:line="360" w:lineRule="auto"/>
        <w:ind w:firstLine="720"/>
        <w:jc w:val="both"/>
      </w:pPr>
      <w:r>
        <w:rPr>
          <w:rFonts w:ascii="Arial" w:cs="Arial" w:eastAsia="Arial" w:hAnsi="Arial"/>
          <w:sz w:val="24"/>
          <w:szCs w:val="24"/>
        </w:rPr>
        <w:t xml:space="preserve">OCTAVE, acrónimo de Operationally Critical Threat, Asset, and Vulnerability Evaluation, es una metodología desarrollada por el Software Engineering Institute de la Universidad Carnegie Mellon. A diferencia de otros modelos centrados principalmente en los aspectos tecnológicos, OCTAVE se caracteriza por adoptar un enfoque organizacional, en el cual el propio personal de la organización, y no únicamente el área de tecnología, participa activamente en la identificación de los activos críticos, las amenazas y las estrategias de protección.</w:t>
      </w:r>
    </w:p>
    <w:p>
      <w:pPr>
        <w:spacing w:after="200" w:line="360" w:lineRule="auto"/>
        <w:ind w:firstLine="720"/>
        <w:jc w:val="both"/>
      </w:pPr>
      <w:r>
        <w:rPr>
          <w:rFonts w:ascii="Arial" w:cs="Arial" w:eastAsia="Arial" w:hAnsi="Arial"/>
          <w:sz w:val="24"/>
          <w:szCs w:val="24"/>
        </w:rPr>
        <w:t xml:space="preserve">La versión original de OCTAVE fue diseñada para organizaciones grandes, con estructuras jerárquicas complejas y equipos multidisciplinarios de análisis. Posteriormente se desarrollaron variantes como OCTAVE-S, orientada a organizaciones pequeñas con recursos limitados, y OCTAVE Allegro, una versión simplificada y más ágil, centrada específicamente en los activos de información.</w:t>
      </w:r>
    </w:p>
    <w:p>
      <w:pPr>
        <w:spacing w:after="200" w:line="360" w:lineRule="auto"/>
        <w:ind w:firstLine="720"/>
        <w:jc w:val="both"/>
      </w:pPr>
      <w:r>
        <w:rPr>
          <w:rFonts w:ascii="Arial" w:cs="Arial" w:eastAsia="Arial" w:hAnsi="Arial"/>
          <w:sz w:val="24"/>
          <w:szCs w:val="24"/>
        </w:rPr>
        <w:t xml:space="preserve">OCTAVE Allegro organiza su proceso en cuatro fases que agrupan ocho pasos concretos. En la primera fase se establecen los criterios de medición del riesgo, alineados con la misión, los objetivos y los factores críticos de éxito de la organización. En la segunda fase se desarrolla un perfil para cada activo de información crítico, delimitando claramente sus fronteras, sus requisitos de seguridad y los contenedores donde reside o se transporta dicha información, ya sean sistemas, dispositivos, personas o instalaciones físicas.</w:t>
      </w:r>
    </w:p>
    <w:p>
      <w:pPr>
        <w:spacing w:after="200" w:line="360" w:lineRule="auto"/>
        <w:ind w:firstLine="720"/>
        <w:jc w:val="both"/>
      </w:pPr>
      <w:r>
        <w:rPr>
          <w:rFonts w:ascii="Arial" w:cs="Arial" w:eastAsia="Arial" w:hAnsi="Arial"/>
          <w:sz w:val="24"/>
          <w:szCs w:val="24"/>
        </w:rPr>
        <w:t xml:space="preserve">En la tercera fase se identifican las áreas de preocupación y los posibles escenarios de amenaza que podrían afectar a cada activo en el contexto de sus contenedores, considerando amenazas de tipo técnico, físico y humano. En la cuarta y última fase se identifican y analizan los riesgos derivados de dichas amenazas, se estima su probabilidad e impacto, y se selecciona un enfoque de mitigación para cada riesgo, que puede consistir en mitigar, aceptar, transferir o postergar el tratamiento, según su nivel de prioridad.</w:t>
      </w:r>
    </w:p>
    <w:p>
      <w:pPr>
        <w:spacing w:after="200" w:line="360" w:lineRule="auto"/>
        <w:ind w:firstLine="720"/>
        <w:jc w:val="both"/>
      </w:pPr>
      <w:r>
        <w:rPr>
          <w:rFonts w:ascii="Arial" w:cs="Arial" w:eastAsia="Arial" w:hAnsi="Arial"/>
          <w:sz w:val="24"/>
          <w:szCs w:val="24"/>
        </w:rPr>
        <w:t xml:space="preserve">La priorización de los activos y de los riesgos en OCTAVE Allegro se apoya en criterios cualitativos definidos por la propia organización, como el impacto en la reputación, en el cumplimiento legal, en la productividad o en la seguridad de las personas, los cuales pueden traducirse en una puntuación que facilita ordenar los riesgos según su relevancia. Este enfoque participativo y centrado en la información, más que en la infraestructura tecnológica, hace de OCTAVE Allegro un modelo especialmente útil para organizaciones que buscan un método ágil, aplicable con equipos reducidos y sin requerir necesariamente un alto nivel de especialización técnica previa.</w:t>
      </w:r>
    </w:p>
    <w:p>
      <w:pPr>
        <w:pStyle w:val="Heading1"/>
        <w:spacing w:after="200" w:before="300" w:line="360" w:lineRule="auto"/>
      </w:pPr>
      <w:r>
        <w:rPr>
          <w:rFonts w:ascii="Arial" w:cs="Arial" w:eastAsia="Arial" w:hAnsi="Arial"/>
          <w:b/>
          <w:bCs/>
          <w:color w:val="000000"/>
          <w:sz w:val="28"/>
          <w:szCs w:val="28"/>
        </w:rPr>
        <w:t xml:space="preserve">Conclusiones</w:t>
      </w:r>
    </w:p>
    <w:p>
      <w:pPr>
        <w:pStyle w:val="ListParagraph"/>
        <w:numPr>
          <w:ilvl w:val="0"/>
          <w:numId w:val="2"/>
        </w:numPr>
        <w:spacing w:after="120" w:line="360" w:lineRule="auto"/>
      </w:pPr>
      <w:r>
        <w:rPr>
          <w:rFonts w:ascii="Arial" w:cs="Arial" w:eastAsia="Arial" w:hAnsi="Arial"/>
          <w:sz w:val="24"/>
          <w:szCs w:val="24"/>
        </w:rPr>
        <w:t xml:space="preserve">La gestión de riesgos de seguridad informática es un proceso continuo e iterativo, y no un evento aislado, que requiere el compromiso de toda la organización y no solo del área tecnológica.</w:t>
      </w:r>
    </w:p>
    <w:p>
      <w:pPr>
        <w:pStyle w:val="ListParagraph"/>
        <w:numPr>
          <w:ilvl w:val="0"/>
          <w:numId w:val="2"/>
        </w:numPr>
        <w:spacing w:after="120" w:line="360" w:lineRule="auto"/>
      </w:pPr>
      <w:r>
        <w:rPr>
          <w:rFonts w:ascii="Arial" w:cs="Arial" w:eastAsia="Arial" w:hAnsi="Arial"/>
          <w:sz w:val="24"/>
          <w:szCs w:val="24"/>
        </w:rPr>
        <w:t xml:space="preserve">La correcta identificación y clasificación de los activos, así como la comprensión clara de la diferencia entre amenaza, vulnerabilidad, brecha y criticidad, constituye la base indispensable de cualquier metodología de análisis de riesgos.</w:t>
      </w:r>
    </w:p>
    <w:p>
      <w:pPr>
        <w:pStyle w:val="ListParagraph"/>
        <w:numPr>
          <w:ilvl w:val="0"/>
          <w:numId w:val="2"/>
        </w:numPr>
        <w:spacing w:after="120" w:line="360" w:lineRule="auto"/>
      </w:pPr>
      <w:r>
        <w:rPr>
          <w:rFonts w:ascii="Arial" w:cs="Arial" w:eastAsia="Arial" w:hAnsi="Arial"/>
          <w:sz w:val="24"/>
          <w:szCs w:val="24"/>
        </w:rPr>
        <w:t xml:space="preserve">MAGERIT ofrece un método formal, detallado y ampliamente documentado, especialmente adecuado para organizaciones que deben cumplir marcos normativos estrictos y que cuentan con equipos técnicos especializados en su aplicación.</w:t>
      </w:r>
    </w:p>
    <w:p>
      <w:pPr>
        <w:pStyle w:val="ListParagraph"/>
        <w:numPr>
          <w:ilvl w:val="0"/>
          <w:numId w:val="2"/>
        </w:numPr>
        <w:spacing w:after="120" w:line="360" w:lineRule="auto"/>
      </w:pPr>
      <w:r>
        <w:rPr>
          <w:rFonts w:ascii="Arial" w:cs="Arial" w:eastAsia="Arial" w:hAnsi="Arial"/>
          <w:sz w:val="24"/>
          <w:szCs w:val="24"/>
        </w:rPr>
        <w:t xml:space="preserve">OCTAVE, en particular su variante Allegro, propone un enfoque más ágil y participativo, centrado en los activos de información y en el conocimiento del propio personal de la organización, lo que facilita su aplicación en equipos multidisciplinarios y en organizaciones con estructuras menos complejas.</w:t>
      </w:r>
    </w:p>
    <w:p>
      <w:pPr>
        <w:pStyle w:val="ListParagraph"/>
        <w:numPr>
          <w:ilvl w:val="0"/>
          <w:numId w:val="2"/>
        </w:numPr>
        <w:spacing w:after="120" w:line="360" w:lineRule="auto"/>
      </w:pPr>
      <w:r>
        <w:rPr>
          <w:rFonts w:ascii="Arial" w:cs="Arial" w:eastAsia="Arial" w:hAnsi="Arial"/>
          <w:sz w:val="24"/>
          <w:szCs w:val="24"/>
        </w:rPr>
        <w:t xml:space="preserve">Ambos modelos, aunque con enfoques distintos, comparten el mismo propósito fundamental: reducir a niveles aceptables los riesgos que enfrentan los activos de información, mediante un proceso sistemático de identificación, análisis, valoración y tratamiento.</w:t>
      </w:r>
    </w:p>
    <w:p>
      <w:pPr>
        <w:pStyle w:val="ListParagraph"/>
        <w:numPr>
          <w:ilvl w:val="0"/>
          <w:numId w:val="2"/>
        </w:numPr>
        <w:spacing w:after="120" w:line="360" w:lineRule="auto"/>
      </w:pPr>
      <w:r>
        <w:rPr>
          <w:rFonts w:ascii="Arial" w:cs="Arial" w:eastAsia="Arial" w:hAnsi="Arial"/>
          <w:sz w:val="24"/>
          <w:szCs w:val="24"/>
        </w:rPr>
        <w:t xml:space="preserve">El dominio conceptual de estos modelos constituye una base sólida para participar de manera informada en el proyecto grupal del curso, permitiendo aplicar criterios técnicos consistentes en el análisis de riesgos de un caso real.</w:t>
      </w:r>
    </w:p>
    <w:p>
      <w:pPr>
        <w:pStyle w:val="Heading1"/>
        <w:spacing w:after="200" w:before="300" w:line="360" w:lineRule="auto"/>
      </w:pPr>
      <w:r>
        <w:rPr>
          <w:rFonts w:ascii="Arial" w:cs="Arial" w:eastAsia="Arial" w:hAnsi="Arial"/>
          <w:b/>
          <w:bCs/>
          <w:color w:val="000000"/>
          <w:sz w:val="28"/>
          <w:szCs w:val="28"/>
        </w:rPr>
        <w:t xml:space="preserve">Referencias</w:t>
      </w:r>
    </w:p>
    <w:p>
      <w:pPr>
        <w:spacing w:after="200" w:line="360" w:lineRule="auto"/>
        <w:ind w:left="720" w:hanging="720"/>
      </w:pPr>
      <w:r>
        <w:rPr>
          <w:rFonts w:ascii="Arial" w:cs="Arial" w:eastAsia="Arial" w:hAnsi="Arial"/>
          <w:sz w:val="24"/>
          <w:szCs w:val="24"/>
        </w:rPr>
        <w:t xml:space="preserve">Alberts, C., &amp; Dorofee, A. (2003). Managing information security risks: The OCTAVE approach. Addison-Wesley.</w:t>
      </w:r>
    </w:p>
    <w:p>
      <w:pPr>
        <w:spacing w:after="200" w:line="360" w:lineRule="auto"/>
        <w:ind w:left="720" w:hanging="720"/>
      </w:pPr>
      <w:r>
        <w:rPr>
          <w:rFonts w:ascii="Arial" w:cs="Arial" w:eastAsia="Arial" w:hAnsi="Arial"/>
          <w:sz w:val="24"/>
          <w:szCs w:val="24"/>
        </w:rPr>
        <w:t xml:space="preserve">Caralli, R. A., Stevens, J. F., Young, L. R., &amp; Wilson, W. R. (2007). Introducing OCTAVE Allegro: Improving the information security risk assessment process (CMU/SEI-2007-TR-012). Software Engineering Institute, Carnegie Mellon University.</w:t>
      </w:r>
    </w:p>
    <w:p>
      <w:pPr>
        <w:spacing w:after="200" w:line="360" w:lineRule="auto"/>
        <w:ind w:left="720" w:hanging="720"/>
      </w:pPr>
      <w:r>
        <w:rPr>
          <w:rFonts w:ascii="Arial" w:cs="Arial" w:eastAsia="Arial" w:hAnsi="Arial"/>
          <w:sz w:val="24"/>
          <w:szCs w:val="24"/>
        </w:rPr>
        <w:t xml:space="preserve">Centro Criptológico Nacional. (2012). MAGERIT – versión 3.0: Metodología de análisis y gestión de riesgos de los sistemas de información. Libro I – Método. Ministerio de Hacienda y Administraciones Públicas de España. https://www.ccn-cert.cni.es/documentos-publicos/1789-magerit-libro-i-metodo/file.html</w:t>
      </w:r>
    </w:p>
    <w:p>
      <w:pPr>
        <w:spacing w:after="200" w:line="360" w:lineRule="auto"/>
        <w:ind w:left="720" w:hanging="720"/>
      </w:pPr>
      <w:r>
        <w:rPr>
          <w:rFonts w:ascii="Arial" w:cs="Arial" w:eastAsia="Arial" w:hAnsi="Arial"/>
          <w:sz w:val="24"/>
          <w:szCs w:val="24"/>
        </w:rPr>
        <w:t xml:space="preserve">International Organization for Standardization. (2018). ISO/IEC 27005:2018 – Information technology — Security techniques — Information security risk management. ISO.</w:t>
      </w:r>
    </w:p>
    <w:p>
      <w:pPr>
        <w:spacing w:after="200" w:line="360" w:lineRule="auto"/>
        <w:ind w:left="720" w:hanging="720"/>
      </w:pPr>
      <w:r>
        <w:rPr>
          <w:rFonts w:ascii="Arial" w:cs="Arial" w:eastAsia="Arial" w:hAnsi="Arial"/>
          <w:sz w:val="24"/>
          <w:szCs w:val="24"/>
        </w:rPr>
        <w:t xml:space="preserve">Lazarus Alliance. (2023, 12 de abril). ¿Qué es OCTAVE y OCTAVE Allegro? https://lazarusalliance.com/es/¿Qué-es-una-octava-y-un-allegro-de-octava/</w:t>
      </w:r>
    </w:p>
    <w:p>
      <w:pPr>
        <w:spacing w:after="200" w:line="360" w:lineRule="auto"/>
        <w:ind w:left="720" w:hanging="720"/>
      </w:pPr>
      <w:r>
        <w:rPr>
          <w:rFonts w:ascii="Arial" w:cs="Arial" w:eastAsia="Arial" w:hAnsi="Arial"/>
          <w:sz w:val="24"/>
          <w:szCs w:val="24"/>
        </w:rPr>
        <w:t xml:space="preserve">Seifti. (2024, 24 de mayo). Magerit. https://seifti.io/es/magerit/</w:t>
      </w:r>
    </w:p>
    <w:p>
      <w:pPr>
        <w:spacing w:after="200" w:line="360" w:lineRule="auto"/>
        <w:ind w:left="720" w:hanging="720"/>
      </w:pPr>
      <w:r>
        <w:rPr>
          <w:rFonts w:ascii="Arial" w:cs="Arial" w:eastAsia="Arial" w:hAnsi="Arial"/>
          <w:sz w:val="24"/>
          <w:szCs w:val="24"/>
        </w:rPr>
        <w:t xml:space="preserve">Secra. (2026, 12 de mayo). Qué es Magerit: metodología de análisis de riesgos y herramienta PILAR. https://secra.es/es/blog/que-es-magerit-metodologia-analisis-riesgos</w:t>
      </w:r>
    </w:p>
    <w:p>
      <w:pPr>
        <w:pStyle w:val="Heading1"/>
        <w:spacing w:after="200" w:before="300" w:line="360" w:lineRule="auto"/>
      </w:pPr>
      <w:r>
        <w:rPr>
          <w:rFonts w:ascii="Arial" w:cs="Arial" w:eastAsia="Arial" w:hAnsi="Arial"/>
          <w:b/>
          <w:bCs/>
          <w:color w:val="000000"/>
          <w:sz w:val="28"/>
          <w:szCs w:val="28"/>
        </w:rPr>
        <w:t xml:space="preserve">Anexos</w:t>
      </w:r>
    </w:p>
    <w:p>
      <w:pPr>
        <w:spacing w:after="200" w:line="360" w:lineRule="auto"/>
        <w:jc w:val="both"/>
      </w:pPr>
      <w:r>
        <w:rPr>
          <w:rFonts w:ascii="Arial" w:cs="Arial" w:eastAsia="Arial" w:hAnsi="Arial"/>
          <w:sz w:val="24"/>
          <w:szCs w:val="24"/>
        </w:rPr>
        <w:t xml:space="preserve">Tabla 1. Comparación general entre los modelos MAGERIT y OCTAVE Allegro.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3650"/>
        <w:gridCol w:w="3650"/>
      </w:tblGrid>
      <w:tr>
        <w:tc>
          <w:tcPr>
            <w:tcW w:type="dxa" w:w="2400"/>
            <w:shd w:fill="D9D9D9" w:val="clear"/>
            <w:tcMar>
              <w:top w:type="dxa" w:w="100"/>
              <w:left w:type="dxa" w:w="100"/>
              <w:bottom w:type="dxa" w:w="100"/>
              <w:right w:type="dxa" w:w="100"/>
            </w:tcMar>
            <w:vAlign w:val="center"/>
          </w:tcPr>
          <w:p>
            <w:pPr>
              <w:spacing w:line="360" w:lineRule="auto"/>
            </w:pPr>
            <w:r>
              <w:rPr>
                <w:rFonts w:ascii="Arial" w:cs="Arial" w:eastAsia="Arial" w:hAnsi="Arial"/>
                <w:b/>
                <w:bCs/>
                <w:sz w:val="22"/>
                <w:szCs w:val="22"/>
              </w:rPr>
              <w:t xml:space="preserve">Criterio</w:t>
            </w:r>
          </w:p>
        </w:tc>
        <w:tc>
          <w:tcPr>
            <w:tcW w:type="dxa" w:w="3650"/>
            <w:shd w:fill="D9D9D9" w:val="clear"/>
            <w:tcMar>
              <w:top w:type="dxa" w:w="100"/>
              <w:left w:type="dxa" w:w="100"/>
              <w:bottom w:type="dxa" w:w="100"/>
              <w:right w:type="dxa" w:w="100"/>
            </w:tcMar>
            <w:vAlign w:val="center"/>
          </w:tcPr>
          <w:p>
            <w:pPr>
              <w:spacing w:line="360" w:lineRule="auto"/>
            </w:pPr>
            <w:r>
              <w:rPr>
                <w:rFonts w:ascii="Arial" w:cs="Arial" w:eastAsia="Arial" w:hAnsi="Arial"/>
                <w:b/>
                <w:bCs/>
                <w:sz w:val="22"/>
                <w:szCs w:val="22"/>
              </w:rPr>
              <w:t xml:space="preserve">MAGERIT</w:t>
            </w:r>
          </w:p>
        </w:tc>
        <w:tc>
          <w:tcPr>
            <w:tcW w:type="dxa" w:w="3650"/>
            <w:shd w:fill="D9D9D9" w:val="clear"/>
            <w:tcMar>
              <w:top w:type="dxa" w:w="100"/>
              <w:left w:type="dxa" w:w="100"/>
              <w:bottom w:type="dxa" w:w="100"/>
              <w:right w:type="dxa" w:w="100"/>
            </w:tcMar>
            <w:vAlign w:val="center"/>
          </w:tcPr>
          <w:p>
            <w:pPr>
              <w:spacing w:line="360" w:lineRule="auto"/>
            </w:pPr>
            <w:r>
              <w:rPr>
                <w:rFonts w:ascii="Arial" w:cs="Arial" w:eastAsia="Arial" w:hAnsi="Arial"/>
                <w:b/>
                <w:bCs/>
                <w:sz w:val="22"/>
                <w:szCs w:val="22"/>
              </w:rPr>
              <w:t xml:space="preserve">OCTAVE Allegro</w:t>
            </w:r>
          </w:p>
        </w:tc>
      </w:tr>
      <w:tr>
        <w:tc>
          <w:tcPr>
            <w:tcW w:type="dxa" w:w="2400"/>
            <w:tcMar>
              <w:top w:type="dxa" w:w="100"/>
              <w:left w:type="dxa" w:w="100"/>
              <w:bottom w:type="dxa" w:w="100"/>
              <w:right w:type="dxa" w:w="100"/>
            </w:tcMar>
            <w:vAlign w:val="center"/>
          </w:tcPr>
          <w:p>
            <w:pPr>
              <w:spacing w:line="360" w:lineRule="auto"/>
            </w:pPr>
            <w:r>
              <w:rPr>
                <w:rFonts w:ascii="Arial" w:cs="Arial" w:eastAsia="Arial" w:hAnsi="Arial"/>
                <w:b w:val="false"/>
                <w:bCs w:val="false"/>
                <w:sz w:val="22"/>
                <w:szCs w:val="22"/>
              </w:rPr>
              <w:t xml:space="preserve">Origen</w:t>
            </w:r>
          </w:p>
        </w:tc>
        <w:tc>
          <w:tcPr>
            <w:tcW w:type="dxa" w:w="3650"/>
            <w:tcMar>
              <w:top w:type="dxa" w:w="100"/>
              <w:left w:type="dxa" w:w="100"/>
              <w:bottom w:type="dxa" w:w="100"/>
              <w:right w:type="dxa" w:w="100"/>
            </w:tcMar>
            <w:vAlign w:val="center"/>
          </w:tcPr>
          <w:p>
            <w:pPr>
              <w:spacing w:line="360" w:lineRule="auto"/>
            </w:pPr>
            <w:r>
              <w:rPr>
                <w:rFonts w:ascii="Arial" w:cs="Arial" w:eastAsia="Arial" w:hAnsi="Arial"/>
                <w:b w:val="false"/>
                <w:bCs w:val="false"/>
                <w:sz w:val="22"/>
                <w:szCs w:val="22"/>
              </w:rPr>
              <w:t xml:space="preserve">Gobierno de España (CCN/CSAE)</w:t>
            </w:r>
          </w:p>
        </w:tc>
        <w:tc>
          <w:tcPr>
            <w:tcW w:type="dxa" w:w="3650"/>
            <w:tcMar>
              <w:top w:type="dxa" w:w="100"/>
              <w:left w:type="dxa" w:w="100"/>
              <w:bottom w:type="dxa" w:w="100"/>
              <w:right w:type="dxa" w:w="100"/>
            </w:tcMar>
            <w:vAlign w:val="center"/>
          </w:tcPr>
          <w:p>
            <w:pPr>
              <w:spacing w:line="360" w:lineRule="auto"/>
            </w:pPr>
            <w:r>
              <w:rPr>
                <w:rFonts w:ascii="Arial" w:cs="Arial" w:eastAsia="Arial" w:hAnsi="Arial"/>
                <w:b w:val="false"/>
                <w:bCs w:val="false"/>
                <w:sz w:val="22"/>
                <w:szCs w:val="22"/>
              </w:rPr>
              <w:t xml:space="preserve">Software Engineering Institute, Carnegie Mellon University</w:t>
            </w:r>
          </w:p>
        </w:tc>
      </w:tr>
      <w:tr>
        <w:tc>
          <w:tcPr>
            <w:tcW w:type="dxa" w:w="2400"/>
            <w:tcMar>
              <w:top w:type="dxa" w:w="100"/>
              <w:left w:type="dxa" w:w="100"/>
              <w:bottom w:type="dxa" w:w="100"/>
              <w:right w:type="dxa" w:w="100"/>
            </w:tcMar>
            <w:vAlign w:val="center"/>
          </w:tcPr>
          <w:p>
            <w:pPr>
              <w:spacing w:line="360" w:lineRule="auto"/>
            </w:pPr>
            <w:r>
              <w:rPr>
                <w:rFonts w:ascii="Arial" w:cs="Arial" w:eastAsia="Arial" w:hAnsi="Arial"/>
                <w:b w:val="false"/>
                <w:bCs w:val="false"/>
                <w:sz w:val="22"/>
                <w:szCs w:val="22"/>
              </w:rPr>
              <w:t xml:space="preserve">Enfoque principal</w:t>
            </w:r>
          </w:p>
        </w:tc>
        <w:tc>
          <w:tcPr>
            <w:tcW w:type="dxa" w:w="3650"/>
            <w:tcMar>
              <w:top w:type="dxa" w:w="100"/>
              <w:left w:type="dxa" w:w="100"/>
              <w:bottom w:type="dxa" w:w="100"/>
              <w:right w:type="dxa" w:w="100"/>
            </w:tcMar>
            <w:vAlign w:val="center"/>
          </w:tcPr>
          <w:p>
            <w:pPr>
              <w:spacing w:line="360" w:lineRule="auto"/>
            </w:pPr>
            <w:r>
              <w:rPr>
                <w:rFonts w:ascii="Arial" w:cs="Arial" w:eastAsia="Arial" w:hAnsi="Arial"/>
                <w:b w:val="false"/>
                <w:bCs w:val="false"/>
                <w:sz w:val="22"/>
                <w:szCs w:val="22"/>
              </w:rPr>
              <w:t xml:space="preserve">Tecnológico y normativo, orientado al cumplimiento</w:t>
            </w:r>
          </w:p>
        </w:tc>
        <w:tc>
          <w:tcPr>
            <w:tcW w:type="dxa" w:w="3650"/>
            <w:tcMar>
              <w:top w:type="dxa" w:w="100"/>
              <w:left w:type="dxa" w:w="100"/>
              <w:bottom w:type="dxa" w:w="100"/>
              <w:right w:type="dxa" w:w="100"/>
            </w:tcMar>
            <w:vAlign w:val="center"/>
          </w:tcPr>
          <w:p>
            <w:pPr>
              <w:spacing w:line="360" w:lineRule="auto"/>
            </w:pPr>
            <w:r>
              <w:rPr>
                <w:rFonts w:ascii="Arial" w:cs="Arial" w:eastAsia="Arial" w:hAnsi="Arial"/>
                <w:b w:val="false"/>
                <w:bCs w:val="false"/>
                <w:sz w:val="22"/>
                <w:szCs w:val="22"/>
              </w:rPr>
              <w:t xml:space="preserve">Organizacional, centrado en los activos de información</w:t>
            </w:r>
          </w:p>
        </w:tc>
      </w:tr>
      <w:tr>
        <w:tc>
          <w:tcPr>
            <w:tcW w:type="dxa" w:w="2400"/>
            <w:tcMar>
              <w:top w:type="dxa" w:w="100"/>
              <w:left w:type="dxa" w:w="100"/>
              <w:bottom w:type="dxa" w:w="100"/>
              <w:right w:type="dxa" w:w="100"/>
            </w:tcMar>
            <w:vAlign w:val="center"/>
          </w:tcPr>
          <w:p>
            <w:pPr>
              <w:spacing w:line="360" w:lineRule="auto"/>
            </w:pPr>
            <w:r>
              <w:rPr>
                <w:rFonts w:ascii="Arial" w:cs="Arial" w:eastAsia="Arial" w:hAnsi="Arial"/>
                <w:b w:val="false"/>
                <w:bCs w:val="false"/>
                <w:sz w:val="22"/>
                <w:szCs w:val="22"/>
              </w:rPr>
              <w:t xml:space="preserve">Estructura</w:t>
            </w:r>
          </w:p>
        </w:tc>
        <w:tc>
          <w:tcPr>
            <w:tcW w:type="dxa" w:w="3650"/>
            <w:tcMar>
              <w:top w:type="dxa" w:w="100"/>
              <w:left w:type="dxa" w:w="100"/>
              <w:bottom w:type="dxa" w:w="100"/>
              <w:right w:type="dxa" w:w="100"/>
            </w:tcMar>
            <w:vAlign w:val="center"/>
          </w:tcPr>
          <w:p>
            <w:pPr>
              <w:spacing w:line="360" w:lineRule="auto"/>
            </w:pPr>
            <w:r>
              <w:rPr>
                <w:rFonts w:ascii="Arial" w:cs="Arial" w:eastAsia="Arial" w:hAnsi="Arial"/>
                <w:b w:val="false"/>
                <w:bCs w:val="false"/>
                <w:sz w:val="22"/>
                <w:szCs w:val="22"/>
              </w:rPr>
              <w:t xml:space="preserve">Tres libros: Método, Catálogo de Elementos, Guía de Técnicas</w:t>
            </w:r>
          </w:p>
        </w:tc>
        <w:tc>
          <w:tcPr>
            <w:tcW w:type="dxa" w:w="3650"/>
            <w:tcMar>
              <w:top w:type="dxa" w:w="100"/>
              <w:left w:type="dxa" w:w="100"/>
              <w:bottom w:type="dxa" w:w="100"/>
              <w:right w:type="dxa" w:w="100"/>
            </w:tcMar>
            <w:vAlign w:val="center"/>
          </w:tcPr>
          <w:p>
            <w:pPr>
              <w:spacing w:line="360" w:lineRule="auto"/>
            </w:pPr>
            <w:r>
              <w:rPr>
                <w:rFonts w:ascii="Arial" w:cs="Arial" w:eastAsia="Arial" w:hAnsi="Arial"/>
                <w:b w:val="false"/>
                <w:bCs w:val="false"/>
                <w:sz w:val="22"/>
                <w:szCs w:val="22"/>
              </w:rPr>
              <w:t xml:space="preserve">Cuatro fases y ocho pasos</w:t>
            </w:r>
          </w:p>
        </w:tc>
      </w:tr>
      <w:tr>
        <w:tc>
          <w:tcPr>
            <w:tcW w:type="dxa" w:w="2400"/>
            <w:tcMar>
              <w:top w:type="dxa" w:w="100"/>
              <w:left w:type="dxa" w:w="100"/>
              <w:bottom w:type="dxa" w:w="100"/>
              <w:right w:type="dxa" w:w="100"/>
            </w:tcMar>
            <w:vAlign w:val="center"/>
          </w:tcPr>
          <w:p>
            <w:pPr>
              <w:spacing w:line="360" w:lineRule="auto"/>
            </w:pPr>
            <w:r>
              <w:rPr>
                <w:rFonts w:ascii="Arial" w:cs="Arial" w:eastAsia="Arial" w:hAnsi="Arial"/>
                <w:b w:val="false"/>
                <w:bCs w:val="false"/>
                <w:sz w:val="22"/>
                <w:szCs w:val="22"/>
              </w:rPr>
              <w:t xml:space="preserve">Herramienta de apoyo</w:t>
            </w:r>
          </w:p>
        </w:tc>
        <w:tc>
          <w:tcPr>
            <w:tcW w:type="dxa" w:w="3650"/>
            <w:tcMar>
              <w:top w:type="dxa" w:w="100"/>
              <w:left w:type="dxa" w:w="100"/>
              <w:bottom w:type="dxa" w:w="100"/>
              <w:right w:type="dxa" w:w="100"/>
            </w:tcMar>
            <w:vAlign w:val="center"/>
          </w:tcPr>
          <w:p>
            <w:pPr>
              <w:spacing w:line="360" w:lineRule="auto"/>
            </w:pPr>
            <w:r>
              <w:rPr>
                <w:rFonts w:ascii="Arial" w:cs="Arial" w:eastAsia="Arial" w:hAnsi="Arial"/>
                <w:b w:val="false"/>
                <w:bCs w:val="false"/>
                <w:sz w:val="22"/>
                <w:szCs w:val="22"/>
              </w:rPr>
              <w:t xml:space="preserve">PILAR (CCN)</w:t>
            </w:r>
          </w:p>
        </w:tc>
        <w:tc>
          <w:tcPr>
            <w:tcW w:type="dxa" w:w="3650"/>
            <w:tcMar>
              <w:top w:type="dxa" w:w="100"/>
              <w:left w:type="dxa" w:w="100"/>
              <w:bottom w:type="dxa" w:w="100"/>
              <w:right w:type="dxa" w:w="100"/>
            </w:tcMar>
            <w:vAlign w:val="center"/>
          </w:tcPr>
          <w:p>
            <w:pPr>
              <w:spacing w:line="360" w:lineRule="auto"/>
            </w:pPr>
            <w:r>
              <w:rPr>
                <w:rFonts w:ascii="Arial" w:cs="Arial" w:eastAsia="Arial" w:hAnsi="Arial"/>
                <w:b w:val="false"/>
                <w:bCs w:val="false"/>
                <w:sz w:val="22"/>
                <w:szCs w:val="22"/>
              </w:rPr>
              <w:t xml:space="preserve">Plantillas y talleres de trabajo del SEI</w:t>
            </w:r>
          </w:p>
        </w:tc>
      </w:tr>
      <w:tr>
        <w:tc>
          <w:tcPr>
            <w:tcW w:type="dxa" w:w="2400"/>
            <w:tcMar>
              <w:top w:type="dxa" w:w="100"/>
              <w:left w:type="dxa" w:w="100"/>
              <w:bottom w:type="dxa" w:w="100"/>
              <w:right w:type="dxa" w:w="100"/>
            </w:tcMar>
            <w:vAlign w:val="center"/>
          </w:tcPr>
          <w:p>
            <w:pPr>
              <w:spacing w:line="360" w:lineRule="auto"/>
            </w:pPr>
            <w:r>
              <w:rPr>
                <w:rFonts w:ascii="Arial" w:cs="Arial" w:eastAsia="Arial" w:hAnsi="Arial"/>
                <w:b w:val="false"/>
                <w:bCs w:val="false"/>
                <w:sz w:val="22"/>
                <w:szCs w:val="22"/>
              </w:rPr>
              <w:t xml:space="preserve">Participación</w:t>
            </w:r>
          </w:p>
        </w:tc>
        <w:tc>
          <w:tcPr>
            <w:tcW w:type="dxa" w:w="3650"/>
            <w:tcMar>
              <w:top w:type="dxa" w:w="100"/>
              <w:left w:type="dxa" w:w="100"/>
              <w:bottom w:type="dxa" w:w="100"/>
              <w:right w:type="dxa" w:w="100"/>
            </w:tcMar>
            <w:vAlign w:val="center"/>
          </w:tcPr>
          <w:p>
            <w:pPr>
              <w:spacing w:line="360" w:lineRule="auto"/>
            </w:pPr>
            <w:r>
              <w:rPr>
                <w:rFonts w:ascii="Arial" w:cs="Arial" w:eastAsia="Arial" w:hAnsi="Arial"/>
                <w:b w:val="false"/>
                <w:bCs w:val="false"/>
                <w:sz w:val="22"/>
                <w:szCs w:val="22"/>
              </w:rPr>
              <w:t xml:space="preserve">Principalmente equipo técnico especializado</w:t>
            </w:r>
          </w:p>
        </w:tc>
        <w:tc>
          <w:tcPr>
            <w:tcW w:type="dxa" w:w="3650"/>
            <w:tcMar>
              <w:top w:type="dxa" w:w="100"/>
              <w:left w:type="dxa" w:w="100"/>
              <w:bottom w:type="dxa" w:w="100"/>
              <w:right w:type="dxa" w:w="100"/>
            </w:tcMar>
            <w:vAlign w:val="center"/>
          </w:tcPr>
          <w:p>
            <w:pPr>
              <w:spacing w:line="360" w:lineRule="auto"/>
            </w:pPr>
            <w:r>
              <w:rPr>
                <w:rFonts w:ascii="Arial" w:cs="Arial" w:eastAsia="Arial" w:hAnsi="Arial"/>
                <w:b w:val="false"/>
                <w:bCs w:val="false"/>
                <w:sz w:val="22"/>
                <w:szCs w:val="22"/>
              </w:rPr>
              <w:t xml:space="preserve">Equipos multidisciplinarios de toda la organización</w:t>
            </w:r>
          </w:p>
        </w:tc>
      </w:tr>
      <w:tr>
        <w:tc>
          <w:tcPr>
            <w:tcW w:type="dxa" w:w="2400"/>
            <w:tcMar>
              <w:top w:type="dxa" w:w="100"/>
              <w:left w:type="dxa" w:w="100"/>
              <w:bottom w:type="dxa" w:w="100"/>
              <w:right w:type="dxa" w:w="100"/>
            </w:tcMar>
            <w:vAlign w:val="center"/>
          </w:tcPr>
          <w:p>
            <w:pPr>
              <w:spacing w:line="360" w:lineRule="auto"/>
            </w:pPr>
            <w:r>
              <w:rPr>
                <w:rFonts w:ascii="Arial" w:cs="Arial" w:eastAsia="Arial" w:hAnsi="Arial"/>
                <w:b w:val="false"/>
                <w:bCs w:val="false"/>
                <w:sz w:val="22"/>
                <w:szCs w:val="22"/>
              </w:rPr>
              <w:t xml:space="preserve">Contexto de aplicación recomendado</w:t>
            </w:r>
          </w:p>
        </w:tc>
        <w:tc>
          <w:tcPr>
            <w:tcW w:type="dxa" w:w="3650"/>
            <w:tcMar>
              <w:top w:type="dxa" w:w="100"/>
              <w:left w:type="dxa" w:w="100"/>
              <w:bottom w:type="dxa" w:w="100"/>
              <w:right w:type="dxa" w:w="100"/>
            </w:tcMar>
            <w:vAlign w:val="center"/>
          </w:tcPr>
          <w:p>
            <w:pPr>
              <w:spacing w:line="360" w:lineRule="auto"/>
            </w:pPr>
            <w:r>
              <w:rPr>
                <w:rFonts w:ascii="Arial" w:cs="Arial" w:eastAsia="Arial" w:hAnsi="Arial"/>
                <w:b w:val="false"/>
                <w:bCs w:val="false"/>
                <w:sz w:val="22"/>
                <w:szCs w:val="22"/>
              </w:rPr>
              <w:t xml:space="preserve">Organizaciones públicas y entornos con marcos normativos exigentes</w:t>
            </w:r>
          </w:p>
        </w:tc>
        <w:tc>
          <w:tcPr>
            <w:tcW w:type="dxa" w:w="3650"/>
            <w:tcMar>
              <w:top w:type="dxa" w:w="100"/>
              <w:left w:type="dxa" w:w="100"/>
              <w:bottom w:type="dxa" w:w="100"/>
              <w:right w:type="dxa" w:w="100"/>
            </w:tcMar>
            <w:vAlign w:val="center"/>
          </w:tcPr>
          <w:p>
            <w:pPr>
              <w:spacing w:line="360" w:lineRule="auto"/>
            </w:pPr>
            <w:r>
              <w:rPr>
                <w:rFonts w:ascii="Arial" w:cs="Arial" w:eastAsia="Arial" w:hAnsi="Arial"/>
                <w:b w:val="false"/>
                <w:bCs w:val="false"/>
                <w:sz w:val="22"/>
                <w:szCs w:val="22"/>
              </w:rPr>
              <w:t xml:space="preserve">Organizaciones que buscan un proceso ágil y participativo</w:t>
            </w:r>
          </w:p>
        </w:tc>
      </w:tr>
    </w:tbl>
    <w:sectPr>
      <w:headerReference w:type="default" r:id="rId7"/>
      <w:pgSz w:w="12240" w:h="15840" w:orient="portrait"/>
      <w:pgMar w:top="1701" w:right="1417" w:bottom="1701" w:left="1984"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2026-07-18T17:26:26.142Z</dcterms:created>
  <dcterms:modified xsi:type="dcterms:W3CDTF">2026-07-18T17:26:26.142Z</dcterms:modified>
</cp:coreProperties>
</file>

<file path=docProps/custom.xml><?xml version="1.0" encoding="utf-8"?>
<Properties xmlns="http://schemas.openxmlformats.org/officeDocument/2006/custom-properties" xmlns:vt="http://schemas.openxmlformats.org/officeDocument/2006/docPropsVTypes"/>
</file>