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60"/>
        <w:jc w:val="center"/>
      </w:pPr>
      <w:r>
        <w:rPr>
          <w:b/>
          <w:bCs/>
          <w:color w:val="1E40AF"/>
          <w:sz w:val="56"/>
          <w:szCs w:val="56"/>
        </w:rPr>
        <w:t xml:space="preserve">Method Comparison Tool</w:t>
      </w:r>
    </w:p>
    <w:p>
      <w:pPr>
        <w:spacing w:after="700"/>
        <w:jc w:val="center"/>
      </w:pPr>
      <w:r>
        <w:rPr>
          <w:color w:val="1E293B"/>
          <w:sz w:val="32"/>
          <w:szCs w:val="32"/>
        </w:rPr>
        <w:t xml:space="preserve">Användarmanual</w:t>
      </w:r>
    </w:p>
    <w:p>
      <w:pPr>
        <w:spacing w:after="100"/>
        <w:jc w:val="center"/>
      </w:pPr>
      <w:r>
        <w:rPr>
          <w:sz w:val="24"/>
          <w:szCs w:val="24"/>
        </w:rPr>
        <w:t xml:space="preserve">Metodjämförelse och precisionsvärdering</w:t>
      </w:r>
    </w:p>
    <w:p>
      <w:pPr>
        <w:spacing w:after="100"/>
        <w:jc w:val="center"/>
      </w:pPr>
      <w:r>
        <w:rPr>
          <w:sz w:val="24"/>
          <w:szCs w:val="24"/>
        </w:rPr>
        <w:t xml:space="preserve">för klinisk kemi och klinisk mikrobiologi</w:t>
      </w:r>
    </w:p>
    <w:p>
      <w:pPr>
        <w:spacing w:before="1400"/>
        <w:jc w:val="center"/>
      </w:pPr>
      <w:r>
        <w:rPr>
          <w:color w:val="64748B"/>
          <w:sz w:val="20"/>
          <w:szCs w:val="20"/>
        </w:rPr>
        <w:t xml:space="preserve">Passing–Bablok  ·  Deming  ·  Bland–Altman</w:t>
      </w:r>
    </w:p>
    <w:p>
      <w:pPr>
        <w:jc w:val="center"/>
      </w:pPr>
      <w:r>
        <w:rPr>
          <w:color w:val="64748B"/>
          <w:sz w:val="20"/>
          <w:szCs w:val="20"/>
        </w:rPr>
        <w:t xml:space="preserve">Konfusionsmatris  ·  CLSI EP15-A3</w:t>
      </w:r>
    </w:p>
    <w:p>
      <w:r>
        <w:br w:type="page"/>
      </w:r>
    </w:p>
    <w:p>
      <w:pPr>
        <w:pStyle w:val="Heading1"/>
        <w:spacing w:after="160" w:before="320"/>
      </w:pPr>
      <w:r>
        <w:t xml:space="preserve">Innehåll</w:t>
      </w:r>
    </w:p>
    <w:sdt>
      <w:sdtPr>
        <w:alias w:val="Innehåll"/>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Introduktion</w:t>
      </w:r>
    </w:p>
    <w:p>
      <w:pPr>
        <w:spacing w:after="120" w:line="276"/>
      </w:pPr>
      <w:r>
        <w:rPr>
          <w:sz w:val="21"/>
          <w:szCs w:val="21"/>
        </w:rPr>
        <w:t xml:space="preserve">Method Comparison Tool är ett webbaserat verktyg för att jämföra två analysmetoder mot varandra och för att värdera en metods precision. Verktyget är utvecklat för laboratoriepersonal inom klinisk kemi och klinisk mikrobiologi och kräver inga förkunskaper i statistik eller programmering.</w:t>
      </w:r>
    </w:p>
    <w:p>
      <w:pPr>
        <w:spacing w:after="120" w:line="276"/>
      </w:pPr>
      <w:r>
        <w:rPr>
          <w:sz w:val="21"/>
          <w:szCs w:val="21"/>
        </w:rPr>
        <w:t xml:space="preserve">Programmet innehåller fyra separata analyser som alla följer internationellt vedertagna riktlinjer (CLSI och EUCAST). Samtliga beräkningar har validerats mot publicerade referensexempel.</w:t>
      </w:r>
    </w:p>
    <w:p>
      <w:pPr>
        <w:spacing w:after="140"/>
      </w:pPr>
    </w:p>
    <w:p>
      <w:pPr>
        <w:pStyle w:val="Heading2"/>
        <w:spacing w:after="120" w:before="240"/>
      </w:pPr>
      <w:r>
        <w:t xml:space="preserve">1.1 När använder man vilken analys?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E40AF" w:val="clear"/>
            <w:tcMar>
              <w:top w:type="dxa" w:w="80"/>
              <w:left w:type="dxa" w:w="120"/>
              <w:bottom w:type="dxa" w:w="80"/>
              <w:right w:type="dxa" w:w="120"/>
            </w:tcMar>
          </w:tcPr>
          <w:p>
            <w:r>
              <w:rPr>
                <w:b/>
                <w:bCs/>
                <w:color w:val="FFFFFF"/>
                <w:sz w:val="19"/>
                <w:szCs w:val="19"/>
              </w:rPr>
              <w:t xml:space="preserve">Frågeställning</w:t>
            </w:r>
          </w:p>
        </w:tc>
        <w:tc>
          <w:tcPr>
            <w:tcW w:type="dxa" w:w="4500"/>
            <w:shd w:fill="1E40AF" w:val="clear"/>
            <w:tcMar>
              <w:top w:type="dxa" w:w="80"/>
              <w:left w:type="dxa" w:w="120"/>
              <w:bottom w:type="dxa" w:w="80"/>
              <w:right w:type="dxa" w:w="120"/>
            </w:tcMar>
          </w:tcPr>
          <w:p>
            <w:r>
              <w:rPr>
                <w:b/>
                <w:bCs/>
                <w:color w:val="FFFFFF"/>
                <w:sz w:val="19"/>
                <w:szCs w:val="19"/>
              </w:rPr>
              <w:t xml:space="preserve">Välj analys</w:t>
            </w:r>
          </w:p>
        </w:tc>
      </w:tr>
      <w:tr>
        <w:tc>
          <w:tcPr>
            <w:tcW w:type="dxa" w:w="4500"/>
            <w:shd w:fill="F8FAFC" w:val="clear"/>
            <w:tcMar>
              <w:top w:type="dxa" w:w="70"/>
              <w:left w:type="dxa" w:w="120"/>
              <w:bottom w:type="dxa" w:w="70"/>
              <w:right w:type="dxa" w:w="120"/>
            </w:tcMar>
          </w:tcPr>
          <w:p>
            <w:r>
              <w:rPr>
                <w:sz w:val="19"/>
                <w:szCs w:val="19"/>
              </w:rPr>
              <w:t xml:space="preserve">Ger den nya metoden samma värden som den gamla? Finns systematiskt fel?</w:t>
            </w:r>
          </w:p>
        </w:tc>
        <w:tc>
          <w:tcPr>
            <w:tcW w:type="dxa" w:w="4500"/>
            <w:shd w:fill="F8FAFC" w:val="clear"/>
            <w:tcMar>
              <w:top w:type="dxa" w:w="70"/>
              <w:left w:type="dxa" w:w="120"/>
              <w:bottom w:type="dxa" w:w="70"/>
              <w:right w:type="dxa" w:w="120"/>
            </w:tcMar>
          </w:tcPr>
          <w:p>
            <w:r>
              <w:rPr>
                <w:sz w:val="19"/>
                <w:szCs w:val="19"/>
              </w:rPr>
              <w:t xml:space="preserve">Passing–Bablok eller Deming</w:t>
            </w:r>
          </w:p>
        </w:tc>
      </w:tr>
      <w:tr>
        <w:tc>
          <w:tcPr>
            <w:tcW w:type="dxa" w:w="4500"/>
            <w:shd w:fill="FFFFFF" w:val="clear"/>
            <w:tcMar>
              <w:top w:type="dxa" w:w="70"/>
              <w:left w:type="dxa" w:w="120"/>
              <w:bottom w:type="dxa" w:w="70"/>
              <w:right w:type="dxa" w:w="120"/>
            </w:tcMar>
          </w:tcPr>
          <w:p>
            <w:r>
              <w:rPr>
                <w:sz w:val="19"/>
                <w:szCs w:val="19"/>
              </w:rPr>
              <w:t xml:space="preserve">Hur stor är skillnaden mellan metoderna i absoluta tal, och hur varierar den över mätområdet?</w:t>
            </w:r>
          </w:p>
        </w:tc>
        <w:tc>
          <w:tcPr>
            <w:tcW w:type="dxa" w:w="4500"/>
            <w:shd w:fill="FFFFFF" w:val="clear"/>
            <w:tcMar>
              <w:top w:type="dxa" w:w="70"/>
              <w:left w:type="dxa" w:w="120"/>
              <w:bottom w:type="dxa" w:w="70"/>
              <w:right w:type="dxa" w:w="120"/>
            </w:tcMar>
          </w:tcPr>
          <w:p>
            <w:r>
              <w:rPr>
                <w:sz w:val="19"/>
                <w:szCs w:val="19"/>
              </w:rPr>
              <w:t xml:space="preserve">Bland–Altman (visas automatiskt tillsammans med regressionen)</w:t>
            </w:r>
          </w:p>
        </w:tc>
      </w:tr>
      <w:tr>
        <w:tc>
          <w:tcPr>
            <w:tcW w:type="dxa" w:w="4500"/>
            <w:shd w:fill="F8FAFC" w:val="clear"/>
            <w:tcMar>
              <w:top w:type="dxa" w:w="70"/>
              <w:left w:type="dxa" w:w="120"/>
              <w:bottom w:type="dxa" w:w="70"/>
              <w:right w:type="dxa" w:w="120"/>
            </w:tcMar>
          </w:tcPr>
          <w:p>
            <w:r>
              <w:rPr>
                <w:sz w:val="19"/>
                <w:szCs w:val="19"/>
              </w:rPr>
              <w:t xml:space="preserve">Stämmer zondiametrarna överens mellan två avläsningsmetoder vid resistensbestämning?</w:t>
            </w:r>
          </w:p>
        </w:tc>
        <w:tc>
          <w:tcPr>
            <w:tcW w:type="dxa" w:w="4500"/>
            <w:shd w:fill="F8FAFC" w:val="clear"/>
            <w:tcMar>
              <w:top w:type="dxa" w:w="70"/>
              <w:left w:type="dxa" w:w="120"/>
              <w:bottom w:type="dxa" w:w="70"/>
              <w:right w:type="dxa" w:w="120"/>
            </w:tcMar>
          </w:tcPr>
          <w:p>
            <w:r>
              <w:rPr>
                <w:sz w:val="19"/>
                <w:szCs w:val="19"/>
              </w:rPr>
              <w:t xml:space="preserve">Konfusionsmatris</w:t>
            </w:r>
          </w:p>
        </w:tc>
      </w:tr>
      <w:tr>
        <w:tc>
          <w:tcPr>
            <w:tcW w:type="dxa" w:w="4500"/>
            <w:shd w:fill="FFFFFF" w:val="clear"/>
            <w:tcMar>
              <w:top w:type="dxa" w:w="70"/>
              <w:left w:type="dxa" w:w="120"/>
              <w:bottom w:type="dxa" w:w="70"/>
              <w:right w:type="dxa" w:w="120"/>
            </w:tcMar>
          </w:tcPr>
          <w:p>
            <w:r>
              <w:rPr>
                <w:sz w:val="19"/>
                <w:szCs w:val="19"/>
              </w:rPr>
              <w:t xml:space="preserve">Hur bra repeterbarhet och total imprecision har metoden?</w:t>
            </w:r>
          </w:p>
        </w:tc>
        <w:tc>
          <w:tcPr>
            <w:tcW w:type="dxa" w:w="4500"/>
            <w:shd w:fill="FFFFFF" w:val="clear"/>
            <w:tcMar>
              <w:top w:type="dxa" w:w="70"/>
              <w:left w:type="dxa" w:w="120"/>
              <w:bottom w:type="dxa" w:w="70"/>
              <w:right w:type="dxa" w:w="120"/>
            </w:tcMar>
          </w:tcPr>
          <w:p>
            <w:r>
              <w:rPr>
                <w:sz w:val="19"/>
                <w:szCs w:val="19"/>
              </w:rPr>
              <w:t xml:space="preserve">Precision (EP15-A3)</w:t>
            </w:r>
          </w:p>
        </w:tc>
      </w:tr>
    </w:tbl>
    <w:p>
      <w:pPr>
        <w:spacing w:after="140"/>
      </w:pPr>
    </w:p>
    <w:p>
      <w:pPr>
        <w:pStyle w:val="Heading2"/>
        <w:spacing w:after="120" w:before="240"/>
      </w:pPr>
      <w:r>
        <w:t xml:space="preserve">1.2 Kort om de statistiska metoderna</w:t>
      </w:r>
    </w:p>
    <w:p>
      <w:pPr>
        <w:spacing w:after="140" w:line="276"/>
      </w:pPr>
      <w:r>
        <w:rPr>
          <w:sz w:val="21"/>
          <w:szCs w:val="21"/>
        </w:rPr>
        <w:t xml:space="preserve">Passing–Bablok är en icke-parametrisk regressionsmetod. Den förutsätter inte normalfördelade fel och är okänslig för extremvärden, vilket gör den robust. Den är förstahandsvalet vid metodjämförelse och krävs av flertalet tidskrifter inom klinisk kemi.</w:t>
      </w:r>
    </w:p>
    <w:p>
      <w:pPr>
        <w:spacing w:after="140" w:line="276"/>
      </w:pPr>
      <w:r>
        <w:rPr>
          <w:sz w:val="21"/>
          <w:szCs w:val="21"/>
        </w:rPr>
        <w:t xml:space="preserve">Deming-regression tar hänsyn till att mätfel finns i båda metoderna, till skillnad från vanlig linjär regression som antar att referensmetoden är felfri. Viktad Deming används när mätosäkerheten är proportionell mot koncentrationen, vilket är vanligt i klinisk kemi.</w:t>
      </w:r>
    </w:p>
    <w:p>
      <w:pPr>
        <w:spacing w:after="140" w:line="276"/>
      </w:pPr>
      <w:r>
        <w:rPr>
          <w:sz w:val="21"/>
          <w:szCs w:val="21"/>
        </w:rPr>
        <w:t xml:space="preserve">Bland–Altman visar skillnaden mellan metoderna mot deras medelvärde. Den svarar på frågan hur mycket metoderna kan skilja sig åt i praktiken, uttryckt som systematiskt fel (bias) och överensstämmelsegränser.</w:t>
      </w:r>
    </w:p>
    <w:p>
      <w:pPr>
        <w:spacing w:after="140" w:line="276"/>
      </w:pPr>
      <w:r>
        <w:rPr>
          <w:sz w:val="21"/>
          <w:szCs w:val="21"/>
        </w:rPr>
        <w:t xml:space="preserve">Konfusionsmatrisen är en rutnätsfigur för zondiametrar vid diskdiffusion. Den visar hur ofta två avläsningsmetoder ger exakt samma millimetervärde och hur ofta de leder till olika SIR-kategorisering.</w:t>
      </w:r>
    </w:p>
    <w:p>
      <w:pPr>
        <w:spacing w:after="120" w:line="276"/>
      </w:pPr>
      <w:r>
        <w:rPr>
          <w:sz w:val="21"/>
          <w:szCs w:val="21"/>
        </w:rPr>
        <w:t xml:space="preserve">Precisionsvärdering enligt CLSI EP15-A3 skiljer på repeterbarhet inom serie och total imprecision inom laboratoriet, det vill säga inklusive variationen mellan dagar.</w:t>
      </w:r>
    </w:p>
    <w:p>
      <w:r>
        <w:br w:type="page"/>
      </w:r>
    </w:p>
    <w:p>
      <w:pPr>
        <w:pStyle w:val="Heading1"/>
        <w:spacing w:after="160" w:before="320"/>
      </w:pPr>
      <w:r>
        <w:t xml:space="preserve">2. Komma igång</w:t>
      </w:r>
    </w:p>
    <w:p>
      <w:pPr>
        <w:pStyle w:val="Heading2"/>
        <w:spacing w:after="120" w:before="240"/>
      </w:pPr>
      <w:r>
        <w:t xml:space="preserve">2.1 Starta programmet</w:t>
      </w:r>
    </w:p>
    <w:p>
      <w:pPr>
        <w:spacing w:after="120" w:line="276"/>
      </w:pPr>
      <w:r>
        <w:rPr>
          <w:sz w:val="21"/>
          <w:szCs w:val="21"/>
        </w:rPr>
        <w:t xml:space="preserve">Programmet nås via webbläsare. Om det körs lokalt på din dator startas det genom att öppna en terminal i programmappen och skriva:</w:t>
      </w:r>
    </w:p>
    <w:p>
      <w:pPr>
        <w:shd w:fill="F1F5F9" w:val="clear"/>
        <w:spacing w:after="160" w:before="100"/>
      </w:pPr>
      <w:r>
        <w:rPr>
          <w:rFonts w:ascii="Consolas" w:cs="Consolas" w:eastAsia="Consolas" w:hAnsi="Consolas"/>
          <w:sz w:val="20"/>
          <w:szCs w:val="20"/>
        </w:rPr>
        <w:t xml:space="preserve">  streamlit run app.py  </w:t>
      </w:r>
    </w:p>
    <w:p>
      <w:pPr>
        <w:spacing w:after="120" w:line="276"/>
      </w:pPr>
      <w:r>
        <w:rPr>
          <w:sz w:val="21"/>
          <w:szCs w:val="21"/>
        </w:rPr>
        <w:t xml:space="preserve">Programmet öppnas därefter automatiskt i webbläsaren. Om det körs på en server räcker det att öppna den adress som laboratoriet tillhandahållit.</w:t>
      </w:r>
    </w:p>
    <w:p>
      <w:pPr>
        <w:spacing w:after="140"/>
      </w:pPr>
    </w:p>
    <w:p>
      <w:pPr>
        <w:pStyle w:val="Heading2"/>
        <w:spacing w:after="120" w:before="240"/>
      </w:pPr>
      <w:r>
        <w:t xml:space="preserve">2.2 Programmets uppbyggnad</w:t>
      </w:r>
    </w:p>
    <w:p>
      <w:pPr>
        <w:spacing w:after="120" w:line="276"/>
      </w:pPr>
      <w:r>
        <w:rPr>
          <w:sz w:val="21"/>
          <w:szCs w:val="21"/>
        </w:rPr>
        <w:t xml:space="preserve">Fönstret är uppdelat i två delar. Till vänster finns menyn där du väljer analys, laddar upp data och ställer in alternativ. Till höger visas resultat, diagram och nedladdningsknappar.</w:t>
      </w:r>
    </w:p>
    <w:p>
      <w:pPr>
        <w:spacing w:after="120" w:line="276"/>
      </w:pPr>
      <w:r>
        <w:rPr>
          <w:sz w:val="21"/>
          <w:szCs w:val="21"/>
        </w:rPr>
        <w:t xml:space="preserve">Menyn är numrerad och följer arbetsgången uppifrån och ned:</w:t>
      </w:r>
    </w:p>
    <w:p>
      <w:pPr>
        <w:pStyle w:val="ListParagraph"/>
        <w:numPr>
          <w:ilvl w:val="0"/>
          <w:numId w:val="2"/>
        </w:numPr>
        <w:spacing w:after="60" w:line="276"/>
      </w:pPr>
      <w:r>
        <w:rPr>
          <w:sz w:val="21"/>
          <w:szCs w:val="21"/>
        </w:rPr>
        <w:t xml:space="preserve">① Välj analys — bestämmer vilken statistisk metod som ska användas</w:t>
      </w:r>
    </w:p>
    <w:p>
      <w:pPr>
        <w:pStyle w:val="ListParagraph"/>
        <w:numPr>
          <w:ilvl w:val="0"/>
          <w:numId w:val="2"/>
        </w:numPr>
        <w:spacing w:after="60" w:line="276"/>
      </w:pPr>
      <w:r>
        <w:rPr>
          <w:sz w:val="21"/>
          <w:szCs w:val="21"/>
        </w:rPr>
        <w:t xml:space="preserve">② Ladda data — filuppladdning eller inklistring</w:t>
      </w:r>
    </w:p>
    <w:p>
      <w:pPr>
        <w:pStyle w:val="ListParagraph"/>
        <w:numPr>
          <w:ilvl w:val="0"/>
          <w:numId w:val="2"/>
        </w:numPr>
        <w:spacing w:after="60" w:line="276"/>
      </w:pPr>
      <w:r>
        <w:rPr>
          <w:sz w:val="21"/>
          <w:szCs w:val="21"/>
        </w:rPr>
        <w:t xml:space="preserve">③ Namnge metoder — namnen används som axeletiketter i diagrammen</w:t>
      </w:r>
    </w:p>
    <w:p>
      <w:pPr>
        <w:pStyle w:val="ListParagraph"/>
        <w:numPr>
          <w:ilvl w:val="0"/>
          <w:numId w:val="2"/>
        </w:numPr>
        <w:spacing w:after="60" w:line="276"/>
      </w:pPr>
      <w:r>
        <w:rPr>
          <w:sz w:val="21"/>
          <w:szCs w:val="21"/>
        </w:rPr>
        <w:t xml:space="preserve">④ Diagraminställningar — decimaler, färger, titlar, axelgränser</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1F5F9" w:val="clear"/>
            <w:tcMar>
              <w:top w:type="dxa" w:w="140"/>
              <w:left w:type="dxa" w:w="180"/>
              <w:bottom w:type="dxa" w:w="140"/>
              <w:right w:type="dxa" w:w="180"/>
            </w:tcMar>
          </w:tcPr>
          <w:p>
            <w:pPr>
              <w:spacing w:after="80"/>
            </w:pPr>
            <w:r>
              <w:rPr>
                <w:b/>
                <w:bCs/>
                <w:color w:val="1E40AF"/>
                <w:sz w:val="21"/>
                <w:szCs w:val="21"/>
              </w:rPr>
              <w:t xml:space="preserve">Bra att veta</w:t>
            </w:r>
          </w:p>
          <w:p>
            <w:pPr>
              <w:spacing w:after="50"/>
            </w:pPr>
            <w:r>
              <w:rPr>
                <w:sz w:val="20"/>
                <w:szCs w:val="20"/>
              </w:rPr>
              <w:t xml:space="preserve">Inställningar som ändras i menyn slår igenom direkt utan att analysen behöver köras om.</w:t>
            </w:r>
          </w:p>
          <w:p>
            <w:pPr>
              <w:spacing w:after="50"/>
            </w:pPr>
            <w:r>
              <w:rPr>
                <w:sz w:val="20"/>
                <w:szCs w:val="20"/>
              </w:rPr>
              <w:t xml:space="preserve">Knappen Återställ alla inställningar längst ned i menyn nollställer alla val men behåller uppladdad fil.</w:t>
            </w:r>
          </w:p>
          <w:p>
            <w:pPr>
              <w:spacing w:after="50"/>
            </w:pPr>
            <w:r>
              <w:rPr>
                <w:sz w:val="20"/>
                <w:szCs w:val="20"/>
              </w:rPr>
              <w:t xml:space="preserve">Programmet sparar ingen data mellan sessioner. Ladda ned dina resultat innan du stänger fönstret.</w:t>
            </w:r>
          </w:p>
        </w:tc>
      </w:tr>
    </w:tbl>
    <w:p>
      <w:r>
        <w:br w:type="page"/>
      </w:r>
    </w:p>
    <w:p>
      <w:pPr>
        <w:pStyle w:val="Heading1"/>
        <w:spacing w:after="160" w:before="320"/>
      </w:pPr>
      <w:r>
        <w:t xml:space="preserve">3. Dataformat</w:t>
      </w:r>
    </w:p>
    <w:p>
      <w:pPr>
        <w:spacing w:after="120" w:line="276"/>
      </w:pPr>
      <w:r>
        <w:rPr>
          <w:sz w:val="21"/>
          <w:szCs w:val="21"/>
        </w:rPr>
        <w:t xml:space="preserve">Programmet läser Excel-filer (.xlsx, .xls) och textfiler (.csv). Data kan också klistras in direkt från Excel.</w:t>
      </w:r>
    </w:p>
    <w:p>
      <w:pPr>
        <w:spacing w:after="140"/>
      </w:pPr>
    </w:p>
    <w:p>
      <w:pPr>
        <w:pStyle w:val="Heading2"/>
        <w:spacing w:after="120" w:before="240"/>
      </w:pPr>
      <w:r>
        <w:t xml:space="preserve">3.1 Decimaltecken</w:t>
      </w:r>
    </w:p>
    <w:p>
      <w:pPr>
        <w:spacing w:after="120" w:line="276"/>
      </w:pPr>
      <w:r>
        <w:rPr>
          <w:sz w:val="21"/>
          <w:szCs w:val="21"/>
        </w:rPr>
        <w:t xml:space="preserve">Både komma och punkt accepteras som decimaltecken. Svenska filer med kommadecimal fungerar utan konvertering. Alla resultat och alla nedladdade filer använder komma som decimaltecken.</w:t>
      </w:r>
    </w:p>
    <w:p>
      <w:pPr>
        <w:spacing w:after="140"/>
      </w:pPr>
    </w:p>
    <w:p>
      <w:pPr>
        <w:pStyle w:val="Heading2"/>
        <w:spacing w:after="120" w:before="240"/>
      </w:pPr>
      <w:r>
        <w:t xml:space="preserve">3.2 Format A — en fil med två kolumner</w:t>
      </w:r>
    </w:p>
    <w:p>
      <w:pPr>
        <w:spacing w:after="120" w:line="276"/>
      </w:pPr>
      <w:r>
        <w:rPr>
          <w:sz w:val="21"/>
          <w:szCs w:val="21"/>
        </w:rPr>
        <w:t xml:space="preserve">Det enklaste formatet. Varje rad är ett prov, en kolumn per metod. Ytterligare kolumner får finnas och kan användas för att filtrera raderna.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E40AF" w:val="clear"/>
            <w:tcMar>
              <w:top w:type="dxa" w:w="80"/>
              <w:left w:type="dxa" w:w="120"/>
              <w:bottom w:type="dxa" w:w="80"/>
              <w:right w:type="dxa" w:w="120"/>
            </w:tcMar>
          </w:tcPr>
          <w:p>
            <w:r>
              <w:rPr>
                <w:b/>
                <w:bCs/>
                <w:color w:val="FFFFFF"/>
                <w:sz w:val="19"/>
                <w:szCs w:val="19"/>
              </w:rPr>
              <w:t xml:space="preserve">Art</w:t>
            </w:r>
          </w:p>
        </w:tc>
        <w:tc>
          <w:tcPr>
            <w:tcW w:type="dxa" w:w="3000"/>
            <w:shd w:fill="1E40AF" w:val="clear"/>
            <w:tcMar>
              <w:top w:type="dxa" w:w="80"/>
              <w:left w:type="dxa" w:w="120"/>
              <w:bottom w:type="dxa" w:w="80"/>
              <w:right w:type="dxa" w:w="120"/>
            </w:tcMar>
          </w:tcPr>
          <w:p>
            <w:r>
              <w:rPr>
                <w:b/>
                <w:bCs/>
                <w:color w:val="FFFFFF"/>
                <w:sz w:val="19"/>
                <w:szCs w:val="19"/>
              </w:rPr>
              <w:t xml:space="preserve">Referensmetod (mm)</w:t>
            </w:r>
          </w:p>
        </w:tc>
        <w:tc>
          <w:tcPr>
            <w:tcW w:type="dxa" w:w="3000"/>
            <w:shd w:fill="1E40AF" w:val="clear"/>
            <w:tcMar>
              <w:top w:type="dxa" w:w="80"/>
              <w:left w:type="dxa" w:w="120"/>
              <w:bottom w:type="dxa" w:w="80"/>
              <w:right w:type="dxa" w:w="120"/>
            </w:tcMar>
          </w:tcPr>
          <w:p>
            <w:r>
              <w:rPr>
                <w:b/>
                <w:bCs/>
                <w:color w:val="FFFFFF"/>
                <w:sz w:val="19"/>
                <w:szCs w:val="19"/>
              </w:rPr>
              <w:t xml:space="preserve">Ny metod (mm)</w:t>
            </w:r>
          </w:p>
        </w:tc>
      </w:tr>
      <w:tr>
        <w:tc>
          <w:tcPr>
            <w:tcW w:type="dxa" w:w="3000"/>
            <w:shd w:fill="F8FAFC" w:val="clear"/>
            <w:tcMar>
              <w:top w:type="dxa" w:w="70"/>
              <w:left w:type="dxa" w:w="120"/>
              <w:bottom w:type="dxa" w:w="70"/>
              <w:right w:type="dxa" w:w="120"/>
            </w:tcMar>
          </w:tcPr>
          <w:p>
            <w:r>
              <w:rPr>
                <w:sz w:val="19"/>
                <w:szCs w:val="19"/>
              </w:rPr>
              <w:t xml:space="preserve">E. coli</w:t>
            </w:r>
          </w:p>
        </w:tc>
        <w:tc>
          <w:tcPr>
            <w:tcW w:type="dxa" w:w="3000"/>
            <w:shd w:fill="F8FAFC" w:val="clear"/>
            <w:tcMar>
              <w:top w:type="dxa" w:w="70"/>
              <w:left w:type="dxa" w:w="120"/>
              <w:bottom w:type="dxa" w:w="70"/>
              <w:right w:type="dxa" w:w="120"/>
            </w:tcMar>
          </w:tcPr>
          <w:p>
            <w:r>
              <w:rPr>
                <w:sz w:val="19"/>
                <w:szCs w:val="19"/>
              </w:rPr>
              <w:t xml:space="preserve">18</w:t>
            </w:r>
          </w:p>
        </w:tc>
        <w:tc>
          <w:tcPr>
            <w:tcW w:type="dxa" w:w="3000"/>
            <w:shd w:fill="F8FAFC" w:val="clear"/>
            <w:tcMar>
              <w:top w:type="dxa" w:w="70"/>
              <w:left w:type="dxa" w:w="120"/>
              <w:bottom w:type="dxa" w:w="70"/>
              <w:right w:type="dxa" w:w="120"/>
            </w:tcMar>
          </w:tcPr>
          <w:p>
            <w:r>
              <w:rPr>
                <w:sz w:val="19"/>
                <w:szCs w:val="19"/>
              </w:rPr>
              <w:t xml:space="preserve">19</w:t>
            </w:r>
          </w:p>
        </w:tc>
      </w:tr>
      <w:tr>
        <w:tc>
          <w:tcPr>
            <w:tcW w:type="dxa" w:w="3000"/>
            <w:shd w:fill="FFFFFF" w:val="clear"/>
            <w:tcMar>
              <w:top w:type="dxa" w:w="70"/>
              <w:left w:type="dxa" w:w="120"/>
              <w:bottom w:type="dxa" w:w="70"/>
              <w:right w:type="dxa" w:w="120"/>
            </w:tcMar>
          </w:tcPr>
          <w:p>
            <w:r>
              <w:rPr>
                <w:sz w:val="19"/>
                <w:szCs w:val="19"/>
              </w:rPr>
              <w:t xml:space="preserve">E. coli</w:t>
            </w:r>
          </w:p>
        </w:tc>
        <w:tc>
          <w:tcPr>
            <w:tcW w:type="dxa" w:w="3000"/>
            <w:shd w:fill="FFFFFF" w:val="clear"/>
            <w:tcMar>
              <w:top w:type="dxa" w:w="70"/>
              <w:left w:type="dxa" w:w="120"/>
              <w:bottom w:type="dxa" w:w="70"/>
              <w:right w:type="dxa" w:w="120"/>
            </w:tcMar>
          </w:tcPr>
          <w:p>
            <w:r>
              <w:rPr>
                <w:sz w:val="19"/>
                <w:szCs w:val="19"/>
              </w:rPr>
              <w:t xml:space="preserve">20</w:t>
            </w:r>
          </w:p>
        </w:tc>
        <w:tc>
          <w:tcPr>
            <w:tcW w:type="dxa" w:w="3000"/>
            <w:shd w:fill="FFFFFF" w:val="clear"/>
            <w:tcMar>
              <w:top w:type="dxa" w:w="70"/>
              <w:left w:type="dxa" w:w="120"/>
              <w:bottom w:type="dxa" w:w="70"/>
              <w:right w:type="dxa" w:w="120"/>
            </w:tcMar>
          </w:tcPr>
          <w:p>
            <w:r>
              <w:rPr>
                <w:sz w:val="19"/>
                <w:szCs w:val="19"/>
              </w:rPr>
              <w:t xml:space="preserve">20</w:t>
            </w:r>
          </w:p>
        </w:tc>
      </w:tr>
      <w:tr>
        <w:tc>
          <w:tcPr>
            <w:tcW w:type="dxa" w:w="3000"/>
            <w:shd w:fill="F8FAFC" w:val="clear"/>
            <w:tcMar>
              <w:top w:type="dxa" w:w="70"/>
              <w:left w:type="dxa" w:w="120"/>
              <w:bottom w:type="dxa" w:w="70"/>
              <w:right w:type="dxa" w:w="120"/>
            </w:tcMar>
          </w:tcPr>
          <w:p>
            <w:r>
              <w:rPr>
                <w:sz w:val="19"/>
                <w:szCs w:val="19"/>
              </w:rPr>
              <w:t xml:space="preserve">K. pneumoniae</w:t>
            </w:r>
          </w:p>
        </w:tc>
        <w:tc>
          <w:tcPr>
            <w:tcW w:type="dxa" w:w="3000"/>
            <w:shd w:fill="F8FAFC" w:val="clear"/>
            <w:tcMar>
              <w:top w:type="dxa" w:w="70"/>
              <w:left w:type="dxa" w:w="120"/>
              <w:bottom w:type="dxa" w:w="70"/>
              <w:right w:type="dxa" w:w="120"/>
            </w:tcMar>
          </w:tcPr>
          <w:p>
            <w:r>
              <w:rPr>
                <w:sz w:val="19"/>
                <w:szCs w:val="19"/>
              </w:rPr>
              <w:t xml:space="preserve">22</w:t>
            </w:r>
          </w:p>
        </w:tc>
        <w:tc>
          <w:tcPr>
            <w:tcW w:type="dxa" w:w="3000"/>
            <w:shd w:fill="F8FAFC" w:val="clear"/>
            <w:tcMar>
              <w:top w:type="dxa" w:w="70"/>
              <w:left w:type="dxa" w:w="120"/>
              <w:bottom w:type="dxa" w:w="70"/>
              <w:right w:type="dxa" w:w="120"/>
            </w:tcMar>
          </w:tcPr>
          <w:p>
            <w:r>
              <w:rPr>
                <w:sz w:val="19"/>
                <w:szCs w:val="19"/>
              </w:rPr>
              <w:t xml:space="preserve">23</w:t>
            </w:r>
          </w:p>
        </w:tc>
      </w:tr>
      <w:tr>
        <w:tc>
          <w:tcPr>
            <w:tcW w:type="dxa" w:w="3000"/>
            <w:shd w:fill="FFFFFF" w:val="clear"/>
            <w:tcMar>
              <w:top w:type="dxa" w:w="70"/>
              <w:left w:type="dxa" w:w="120"/>
              <w:bottom w:type="dxa" w:w="70"/>
              <w:right w:type="dxa" w:w="120"/>
            </w:tcMar>
          </w:tcPr>
          <w:p>
            <w:r>
              <w:rPr>
                <w:sz w:val="19"/>
                <w:szCs w:val="19"/>
              </w:rPr>
              <w:t xml:space="preserve">S. aureus</w:t>
            </w:r>
          </w:p>
        </w:tc>
        <w:tc>
          <w:tcPr>
            <w:tcW w:type="dxa" w:w="3000"/>
            <w:shd w:fill="FFFFFF" w:val="clear"/>
            <w:tcMar>
              <w:top w:type="dxa" w:w="70"/>
              <w:left w:type="dxa" w:w="120"/>
              <w:bottom w:type="dxa" w:w="70"/>
              <w:right w:type="dxa" w:w="120"/>
            </w:tcMar>
          </w:tcPr>
          <w:p>
            <w:r>
              <w:rPr>
                <w:sz w:val="19"/>
                <w:szCs w:val="19"/>
              </w:rPr>
              <w:t xml:space="preserve">24</w:t>
            </w:r>
          </w:p>
        </w:tc>
        <w:tc>
          <w:tcPr>
            <w:tcW w:type="dxa" w:w="3000"/>
            <w:shd w:fill="FFFFFF" w:val="clear"/>
            <w:tcMar>
              <w:top w:type="dxa" w:w="70"/>
              <w:left w:type="dxa" w:w="120"/>
              <w:bottom w:type="dxa" w:w="70"/>
              <w:right w:type="dxa" w:w="120"/>
            </w:tcMar>
          </w:tcPr>
          <w:p>
            <w:r>
              <w:rPr>
                <w:sz w:val="19"/>
                <w:szCs w:val="19"/>
              </w:rPr>
              <w:t xml:space="preserve">25</w:t>
            </w:r>
          </w:p>
        </w:tc>
      </w:tr>
    </w:tbl>
    <w:p>
      <w:pPr>
        <w:spacing w:after="140" w:line="276"/>
      </w:pPr>
      <w:r>
        <w:rPr>
          <w:sz w:val="21"/>
          <w:szCs w:val="21"/>
        </w:rPr>
        <w:t xml:space="preserve">Om filen innehåller en textkolumn som Art eller Antibiotikum visas automatiskt ett filter där du kan välja vilka rader som ska ingå i analysen.</w:t>
      </w:r>
    </w:p>
    <w:p>
      <w:pPr>
        <w:spacing w:after="140"/>
      </w:pPr>
    </w:p>
    <w:p>
      <w:pPr>
        <w:pStyle w:val="Heading2"/>
        <w:spacing w:after="120" w:before="240"/>
      </w:pPr>
      <w:r>
        <w:t xml:space="preserve">3.3 Format B — två filer i långt format</w:t>
      </w:r>
    </w:p>
    <w:p>
      <w:pPr>
        <w:spacing w:after="120" w:line="276"/>
      </w:pPr>
      <w:r>
        <w:rPr>
          <w:sz w:val="21"/>
          <w:szCs w:val="21"/>
        </w:rPr>
        <w:t xml:space="preserve">Används när laboratoriesystemet exporterar en rad per analys. Ladda upp en fil per metod. Programmet matchar raderna på prov-ID och analys.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E40AF" w:val="clear"/>
            <w:tcMar>
              <w:top w:type="dxa" w:w="80"/>
              <w:left w:type="dxa" w:w="120"/>
              <w:bottom w:type="dxa" w:w="80"/>
              <w:right w:type="dxa" w:w="120"/>
            </w:tcMar>
          </w:tcPr>
          <w:p>
            <w:r>
              <w:rPr>
                <w:b/>
                <w:bCs/>
                <w:color w:val="FFFFFF"/>
                <w:sz w:val="19"/>
                <w:szCs w:val="19"/>
              </w:rPr>
              <w:t xml:space="preserve">Prov-ID</w:t>
            </w:r>
          </w:p>
        </w:tc>
        <w:tc>
          <w:tcPr>
            <w:tcW w:type="dxa" w:w="3000"/>
            <w:shd w:fill="1E40AF" w:val="clear"/>
            <w:tcMar>
              <w:top w:type="dxa" w:w="80"/>
              <w:left w:type="dxa" w:w="120"/>
              <w:bottom w:type="dxa" w:w="80"/>
              <w:right w:type="dxa" w:w="120"/>
            </w:tcMar>
          </w:tcPr>
          <w:p>
            <w:r>
              <w:rPr>
                <w:b/>
                <w:bCs/>
                <w:color w:val="FFFFFF"/>
                <w:sz w:val="19"/>
                <w:szCs w:val="19"/>
              </w:rPr>
              <w:t xml:space="preserve">Analys</w:t>
            </w:r>
          </w:p>
        </w:tc>
        <w:tc>
          <w:tcPr>
            <w:tcW w:type="dxa" w:w="3000"/>
            <w:shd w:fill="1E40AF" w:val="clear"/>
            <w:tcMar>
              <w:top w:type="dxa" w:w="80"/>
              <w:left w:type="dxa" w:w="120"/>
              <w:bottom w:type="dxa" w:w="80"/>
              <w:right w:type="dxa" w:w="120"/>
            </w:tcMar>
          </w:tcPr>
          <w:p>
            <w:r>
              <w:rPr>
                <w:b/>
                <w:bCs/>
                <w:color w:val="FFFFFF"/>
                <w:sz w:val="19"/>
                <w:szCs w:val="19"/>
              </w:rPr>
              <w:t xml:space="preserve">Resultat</w:t>
            </w:r>
          </w:p>
        </w:tc>
      </w:tr>
      <w:tr>
        <w:tc>
          <w:tcPr>
            <w:tcW w:type="dxa" w:w="3000"/>
            <w:shd w:fill="F8FAFC" w:val="clear"/>
            <w:tcMar>
              <w:top w:type="dxa" w:w="70"/>
              <w:left w:type="dxa" w:w="120"/>
              <w:bottom w:type="dxa" w:w="70"/>
              <w:right w:type="dxa" w:w="120"/>
            </w:tcMar>
          </w:tcPr>
          <w:p>
            <w:r>
              <w:rPr>
                <w:sz w:val="19"/>
                <w:szCs w:val="19"/>
              </w:rPr>
              <w:t xml:space="preserve">S001</w:t>
            </w:r>
          </w:p>
        </w:tc>
        <w:tc>
          <w:tcPr>
            <w:tcW w:type="dxa" w:w="3000"/>
            <w:shd w:fill="F8FAFC" w:val="clear"/>
            <w:tcMar>
              <w:top w:type="dxa" w:w="70"/>
              <w:left w:type="dxa" w:w="120"/>
              <w:bottom w:type="dxa" w:w="70"/>
              <w:right w:type="dxa" w:w="120"/>
            </w:tcMar>
          </w:tcPr>
          <w:p>
            <w:r>
              <w:rPr>
                <w:sz w:val="19"/>
                <w:szCs w:val="19"/>
              </w:rPr>
              <w:t xml:space="preserve">Amoxicillin</w:t>
            </w:r>
          </w:p>
        </w:tc>
        <w:tc>
          <w:tcPr>
            <w:tcW w:type="dxa" w:w="3000"/>
            <w:shd w:fill="F8FAFC" w:val="clear"/>
            <w:tcMar>
              <w:top w:type="dxa" w:w="70"/>
              <w:left w:type="dxa" w:w="120"/>
              <w:bottom w:type="dxa" w:w="70"/>
              <w:right w:type="dxa" w:w="120"/>
            </w:tcMar>
          </w:tcPr>
          <w:p>
            <w:r>
              <w:rPr>
                <w:sz w:val="19"/>
                <w:szCs w:val="19"/>
              </w:rPr>
              <w:t xml:space="preserve">18,0</w:t>
            </w:r>
          </w:p>
        </w:tc>
      </w:tr>
      <w:tr>
        <w:tc>
          <w:tcPr>
            <w:tcW w:type="dxa" w:w="3000"/>
            <w:shd w:fill="FFFFFF" w:val="clear"/>
            <w:tcMar>
              <w:top w:type="dxa" w:w="70"/>
              <w:left w:type="dxa" w:w="120"/>
              <w:bottom w:type="dxa" w:w="70"/>
              <w:right w:type="dxa" w:w="120"/>
            </w:tcMar>
          </w:tcPr>
          <w:p>
            <w:r>
              <w:rPr>
                <w:sz w:val="19"/>
                <w:szCs w:val="19"/>
              </w:rPr>
              <w:t xml:space="preserve">S001</w:t>
            </w:r>
          </w:p>
        </w:tc>
        <w:tc>
          <w:tcPr>
            <w:tcW w:type="dxa" w:w="3000"/>
            <w:shd w:fill="FFFFFF" w:val="clear"/>
            <w:tcMar>
              <w:top w:type="dxa" w:w="70"/>
              <w:left w:type="dxa" w:w="120"/>
              <w:bottom w:type="dxa" w:w="70"/>
              <w:right w:type="dxa" w:w="120"/>
            </w:tcMar>
          </w:tcPr>
          <w:p>
            <w:r>
              <w:rPr>
                <w:sz w:val="19"/>
                <w:szCs w:val="19"/>
              </w:rPr>
              <w:t xml:space="preserve">Ampicillin</w:t>
            </w:r>
          </w:p>
        </w:tc>
        <w:tc>
          <w:tcPr>
            <w:tcW w:type="dxa" w:w="3000"/>
            <w:shd w:fill="FFFFFF" w:val="clear"/>
            <w:tcMar>
              <w:top w:type="dxa" w:w="70"/>
              <w:left w:type="dxa" w:w="120"/>
              <w:bottom w:type="dxa" w:w="70"/>
              <w:right w:type="dxa" w:w="120"/>
            </w:tcMar>
          </w:tcPr>
          <w:p>
            <w:r>
              <w:rPr>
                <w:sz w:val="19"/>
                <w:szCs w:val="19"/>
              </w:rPr>
              <w:t xml:space="preserve">22,5</w:t>
            </w:r>
          </w:p>
        </w:tc>
      </w:tr>
      <w:tr>
        <w:tc>
          <w:tcPr>
            <w:tcW w:type="dxa" w:w="3000"/>
            <w:shd w:fill="F8FAFC" w:val="clear"/>
            <w:tcMar>
              <w:top w:type="dxa" w:w="70"/>
              <w:left w:type="dxa" w:w="120"/>
              <w:bottom w:type="dxa" w:w="70"/>
              <w:right w:type="dxa" w:w="120"/>
            </w:tcMar>
          </w:tcPr>
          <w:p>
            <w:r>
              <w:rPr>
                <w:sz w:val="19"/>
                <w:szCs w:val="19"/>
              </w:rPr>
              <w:t xml:space="preserve">S002</w:t>
            </w:r>
          </w:p>
        </w:tc>
        <w:tc>
          <w:tcPr>
            <w:tcW w:type="dxa" w:w="3000"/>
            <w:shd w:fill="F8FAFC" w:val="clear"/>
            <w:tcMar>
              <w:top w:type="dxa" w:w="70"/>
              <w:left w:type="dxa" w:w="120"/>
              <w:bottom w:type="dxa" w:w="70"/>
              <w:right w:type="dxa" w:w="120"/>
            </w:tcMar>
          </w:tcPr>
          <w:p>
            <w:r>
              <w:rPr>
                <w:sz w:val="19"/>
                <w:szCs w:val="19"/>
              </w:rPr>
              <w:t xml:space="preserve">Amoxicillin</w:t>
            </w:r>
          </w:p>
        </w:tc>
        <w:tc>
          <w:tcPr>
            <w:tcW w:type="dxa" w:w="3000"/>
            <w:shd w:fill="F8FAFC" w:val="clear"/>
            <w:tcMar>
              <w:top w:type="dxa" w:w="70"/>
              <w:left w:type="dxa" w:w="120"/>
              <w:bottom w:type="dxa" w:w="70"/>
              <w:right w:type="dxa" w:w="120"/>
            </w:tcMar>
          </w:tcPr>
          <w:p>
            <w:r>
              <w:rPr>
                <w:sz w:val="19"/>
                <w:szCs w:val="19"/>
              </w:rPr>
              <w:t xml:space="preserve">20,0</w:t>
            </w:r>
          </w:p>
        </w:tc>
      </w:tr>
      <w:tr>
        <w:tc>
          <w:tcPr>
            <w:tcW w:type="dxa" w:w="3000"/>
            <w:shd w:fill="FFFFFF" w:val="clear"/>
            <w:tcMar>
              <w:top w:type="dxa" w:w="70"/>
              <w:left w:type="dxa" w:w="120"/>
              <w:bottom w:type="dxa" w:w="70"/>
              <w:right w:type="dxa" w:w="120"/>
            </w:tcMar>
          </w:tcPr>
          <w:p>
            <w:r>
              <w:rPr>
                <w:sz w:val="19"/>
                <w:szCs w:val="19"/>
              </w:rPr>
              <w:t xml:space="preserve">S003</w:t>
            </w:r>
          </w:p>
        </w:tc>
        <w:tc>
          <w:tcPr>
            <w:tcW w:type="dxa" w:w="3000"/>
            <w:shd w:fill="FFFFFF" w:val="clear"/>
            <w:tcMar>
              <w:top w:type="dxa" w:w="70"/>
              <w:left w:type="dxa" w:w="120"/>
              <w:bottom w:type="dxa" w:w="70"/>
              <w:right w:type="dxa" w:w="120"/>
            </w:tcMar>
          </w:tcPr>
          <w:p>
            <w:r>
              <w:rPr>
                <w:sz w:val="19"/>
                <w:szCs w:val="19"/>
              </w:rPr>
              <w:t xml:space="preserve">Amoxicillin</w:t>
            </w:r>
          </w:p>
        </w:tc>
        <w:tc>
          <w:tcPr>
            <w:tcW w:type="dxa" w:w="3000"/>
            <w:shd w:fill="FFFFFF" w:val="clear"/>
            <w:tcMar>
              <w:top w:type="dxa" w:w="70"/>
              <w:left w:type="dxa" w:w="120"/>
              <w:bottom w:type="dxa" w:w="70"/>
              <w:right w:type="dxa" w:w="120"/>
            </w:tcMar>
          </w:tcPr>
          <w:p>
            <w:r>
              <w:rPr>
                <w:sz w:val="19"/>
                <w:szCs w:val="19"/>
              </w:rPr>
              <w:t xml:space="preserve">15,0</w:t>
            </w:r>
          </w:p>
        </w:tc>
      </w:tr>
    </w:tbl>
    <w:p>
      <w:pPr>
        <w:spacing w:after="140" w:line="276"/>
      </w:pPr>
      <w:r>
        <w:rPr>
          <w:sz w:val="21"/>
          <w:szCs w:val="21"/>
        </w:rPr>
        <w:t xml:space="preserve">Efter matchningen visas hur många prov som hittades i båda filerna och hur många som bara fanns i den ena. Prov som saknar motsvarighet utesluts ur beräkningen men redovisas i den nedladdningsbara Excel-filen.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1F5F9" w:val="clear"/>
            <w:tcMar>
              <w:top w:type="dxa" w:w="140"/>
              <w:left w:type="dxa" w:w="180"/>
              <w:bottom w:type="dxa" w:w="140"/>
              <w:right w:type="dxa" w:w="180"/>
            </w:tcMar>
          </w:tcPr>
          <w:p>
            <w:pPr>
              <w:spacing w:after="80"/>
            </w:pPr>
            <w:r>
              <w:rPr>
                <w:b/>
                <w:bCs/>
                <w:color w:val="1E40AF"/>
                <w:sz w:val="21"/>
                <w:szCs w:val="21"/>
              </w:rPr>
              <w:t xml:space="preserve">Om alla rader gäller samma analys</w:t>
            </w:r>
          </w:p>
          <w:p>
            <w:pPr>
              <w:spacing w:after="50"/>
            </w:pPr>
            <w:r>
              <w:rPr>
                <w:sz w:val="20"/>
                <w:szCs w:val="20"/>
              </w:rPr>
              <w:t xml:space="preserve">Välj N/A i rutan Analys. Programmet behandlar då alla rader som en och samma analys och du behöver inte välja analyt.</w:t>
            </w:r>
          </w:p>
        </w:tc>
      </w:tr>
    </w:tbl>
    <w:p>
      <w:pPr>
        <w:spacing w:after="140"/>
      </w:pPr>
    </w:p>
    <w:p>
      <w:pPr>
        <w:pStyle w:val="Heading2"/>
        <w:spacing w:after="120" w:before="240"/>
      </w:pPr>
      <w:r>
        <w:t xml:space="preserve">3.4 Format C — precisionsdata</w:t>
      </w:r>
    </w:p>
    <w:p>
      <w:pPr>
        <w:spacing w:after="120" w:line="276"/>
      </w:pPr>
      <w:r>
        <w:rPr>
          <w:sz w:val="21"/>
          <w:szCs w:val="21"/>
        </w:rPr>
        <w:t xml:space="preserve">För precisionsvärdering finns två alternativ.</w:t>
      </w:r>
    </w:p>
    <w:p>
      <w:pPr>
        <w:pStyle w:val="Heading3"/>
        <w:spacing w:after="100" w:before="180"/>
      </w:pPr>
      <w:r>
        <w:t xml:space="preserve">Brett format — en kolumn per dag</w:t>
      </w:r>
    </w:p>
    <w:p>
      <w:pPr>
        <w:spacing w:after="120" w:line="276"/>
      </w:pPr>
      <w:r>
        <w:rPr>
          <w:sz w:val="21"/>
          <w:szCs w:val="21"/>
        </w:rPr>
        <w:t xml:space="preserve">Varje kolumn är en dag, varje rad en replikatmätning. Kolumnrubrikerna blir dagbeteckningar.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1E40AF" w:val="clear"/>
            <w:tcMar>
              <w:top w:type="dxa" w:w="80"/>
              <w:left w:type="dxa" w:w="120"/>
              <w:bottom w:type="dxa" w:w="80"/>
              <w:right w:type="dxa" w:w="120"/>
            </w:tcMar>
          </w:tcPr>
          <w:p>
            <w:r>
              <w:rPr>
                <w:b/>
                <w:bCs/>
                <w:color w:val="FFFFFF"/>
                <w:sz w:val="19"/>
                <w:szCs w:val="19"/>
              </w:rPr>
              <w:t xml:space="preserve">Dag 1</w:t>
            </w:r>
          </w:p>
        </w:tc>
        <w:tc>
          <w:tcPr>
            <w:tcW w:type="dxa" w:w="1800"/>
            <w:shd w:fill="1E40AF" w:val="clear"/>
            <w:tcMar>
              <w:top w:type="dxa" w:w="80"/>
              <w:left w:type="dxa" w:w="120"/>
              <w:bottom w:type="dxa" w:w="80"/>
              <w:right w:type="dxa" w:w="120"/>
            </w:tcMar>
          </w:tcPr>
          <w:p>
            <w:r>
              <w:rPr>
                <w:b/>
                <w:bCs/>
                <w:color w:val="FFFFFF"/>
                <w:sz w:val="19"/>
                <w:szCs w:val="19"/>
              </w:rPr>
              <w:t xml:space="preserve">Dag 2</w:t>
            </w:r>
          </w:p>
        </w:tc>
        <w:tc>
          <w:tcPr>
            <w:tcW w:type="dxa" w:w="1800"/>
            <w:shd w:fill="1E40AF" w:val="clear"/>
            <w:tcMar>
              <w:top w:type="dxa" w:w="80"/>
              <w:left w:type="dxa" w:w="120"/>
              <w:bottom w:type="dxa" w:w="80"/>
              <w:right w:type="dxa" w:w="120"/>
            </w:tcMar>
          </w:tcPr>
          <w:p>
            <w:r>
              <w:rPr>
                <w:b/>
                <w:bCs/>
                <w:color w:val="FFFFFF"/>
                <w:sz w:val="19"/>
                <w:szCs w:val="19"/>
              </w:rPr>
              <w:t xml:space="preserve">Dag 3</w:t>
            </w:r>
          </w:p>
        </w:tc>
        <w:tc>
          <w:tcPr>
            <w:tcW w:type="dxa" w:w="1800"/>
            <w:shd w:fill="1E40AF" w:val="clear"/>
            <w:tcMar>
              <w:top w:type="dxa" w:w="80"/>
              <w:left w:type="dxa" w:w="120"/>
              <w:bottom w:type="dxa" w:w="80"/>
              <w:right w:type="dxa" w:w="120"/>
            </w:tcMar>
          </w:tcPr>
          <w:p>
            <w:r>
              <w:rPr>
                <w:b/>
                <w:bCs/>
                <w:color w:val="FFFFFF"/>
                <w:sz w:val="19"/>
                <w:szCs w:val="19"/>
              </w:rPr>
              <w:t xml:space="preserve">Dag 4</w:t>
            </w:r>
          </w:p>
        </w:tc>
        <w:tc>
          <w:tcPr>
            <w:tcW w:type="dxa" w:w="1800"/>
            <w:shd w:fill="1E40AF" w:val="clear"/>
            <w:tcMar>
              <w:top w:type="dxa" w:w="80"/>
              <w:left w:type="dxa" w:w="120"/>
              <w:bottom w:type="dxa" w:w="80"/>
              <w:right w:type="dxa" w:w="120"/>
            </w:tcMar>
          </w:tcPr>
          <w:p>
            <w:r>
              <w:rPr>
                <w:b/>
                <w:bCs/>
                <w:color w:val="FFFFFF"/>
                <w:sz w:val="19"/>
                <w:szCs w:val="19"/>
              </w:rPr>
              <w:t xml:space="preserve">Dag 5</w:t>
            </w:r>
          </w:p>
        </w:tc>
      </w:tr>
      <w:tr>
        <w:tc>
          <w:tcPr>
            <w:tcW w:type="dxa" w:w="1800"/>
            <w:shd w:fill="F8FAFC" w:val="clear"/>
            <w:tcMar>
              <w:top w:type="dxa" w:w="70"/>
              <w:left w:type="dxa" w:w="120"/>
              <w:bottom w:type="dxa" w:w="70"/>
              <w:right w:type="dxa" w:w="120"/>
            </w:tcMar>
          </w:tcPr>
          <w:p>
            <w:r>
              <w:rPr>
                <w:sz w:val="19"/>
                <w:szCs w:val="19"/>
              </w:rPr>
              <w:t xml:space="preserve">2,015</w:t>
            </w:r>
          </w:p>
        </w:tc>
        <w:tc>
          <w:tcPr>
            <w:tcW w:type="dxa" w:w="1800"/>
            <w:shd w:fill="F8FAFC" w:val="clear"/>
            <w:tcMar>
              <w:top w:type="dxa" w:w="70"/>
              <w:left w:type="dxa" w:w="120"/>
              <w:bottom w:type="dxa" w:w="70"/>
              <w:right w:type="dxa" w:w="120"/>
            </w:tcMar>
          </w:tcPr>
          <w:p>
            <w:r>
              <w:rPr>
                <w:sz w:val="19"/>
                <w:szCs w:val="19"/>
              </w:rPr>
              <w:t xml:space="preserve">2,019</w:t>
            </w:r>
          </w:p>
        </w:tc>
        <w:tc>
          <w:tcPr>
            <w:tcW w:type="dxa" w:w="1800"/>
            <w:shd w:fill="F8FAFC" w:val="clear"/>
            <w:tcMar>
              <w:top w:type="dxa" w:w="70"/>
              <w:left w:type="dxa" w:w="120"/>
              <w:bottom w:type="dxa" w:w="70"/>
              <w:right w:type="dxa" w:w="120"/>
            </w:tcMar>
          </w:tcPr>
          <w:p>
            <w:r>
              <w:rPr>
                <w:sz w:val="19"/>
                <w:szCs w:val="19"/>
              </w:rPr>
              <w:t xml:space="preserve">2,025</w:t>
            </w:r>
          </w:p>
        </w:tc>
        <w:tc>
          <w:tcPr>
            <w:tcW w:type="dxa" w:w="1800"/>
            <w:shd w:fill="F8FAFC" w:val="clear"/>
            <w:tcMar>
              <w:top w:type="dxa" w:w="70"/>
              <w:left w:type="dxa" w:w="120"/>
              <w:bottom w:type="dxa" w:w="70"/>
              <w:right w:type="dxa" w:w="120"/>
            </w:tcMar>
          </w:tcPr>
          <w:p>
            <w:r>
              <w:rPr>
                <w:sz w:val="19"/>
                <w:szCs w:val="19"/>
              </w:rPr>
              <w:t xml:space="preserve">1,972</w:t>
            </w:r>
          </w:p>
        </w:tc>
        <w:tc>
          <w:tcPr>
            <w:tcW w:type="dxa" w:w="1800"/>
            <w:shd w:fill="F8FAFC" w:val="clear"/>
            <w:tcMar>
              <w:top w:type="dxa" w:w="70"/>
              <w:left w:type="dxa" w:w="120"/>
              <w:bottom w:type="dxa" w:w="70"/>
              <w:right w:type="dxa" w:w="120"/>
            </w:tcMar>
          </w:tcPr>
          <w:p>
            <w:r>
              <w:rPr>
                <w:sz w:val="19"/>
                <w:szCs w:val="19"/>
              </w:rPr>
              <w:t xml:space="preserve">1,981</w:t>
            </w:r>
          </w:p>
        </w:tc>
      </w:tr>
      <w:tr>
        <w:tc>
          <w:tcPr>
            <w:tcW w:type="dxa" w:w="1800"/>
            <w:shd w:fill="FFFFFF" w:val="clear"/>
            <w:tcMar>
              <w:top w:type="dxa" w:w="70"/>
              <w:left w:type="dxa" w:w="120"/>
              <w:bottom w:type="dxa" w:w="70"/>
              <w:right w:type="dxa" w:w="120"/>
            </w:tcMar>
          </w:tcPr>
          <w:p>
            <w:r>
              <w:rPr>
                <w:sz w:val="19"/>
                <w:szCs w:val="19"/>
              </w:rPr>
              <w:t xml:space="preserve">2,013</w:t>
            </w:r>
          </w:p>
        </w:tc>
        <w:tc>
          <w:tcPr>
            <w:tcW w:type="dxa" w:w="1800"/>
            <w:shd w:fill="FFFFFF" w:val="clear"/>
            <w:tcMar>
              <w:top w:type="dxa" w:w="70"/>
              <w:left w:type="dxa" w:w="120"/>
              <w:bottom w:type="dxa" w:w="70"/>
              <w:right w:type="dxa" w:w="120"/>
            </w:tcMar>
          </w:tcPr>
          <w:p>
            <w:r>
              <w:rPr>
                <w:sz w:val="19"/>
                <w:szCs w:val="19"/>
              </w:rPr>
              <w:t xml:space="preserve">2,002</w:t>
            </w:r>
          </w:p>
        </w:tc>
        <w:tc>
          <w:tcPr>
            <w:tcW w:type="dxa" w:w="1800"/>
            <w:shd w:fill="FFFFFF" w:val="clear"/>
            <w:tcMar>
              <w:top w:type="dxa" w:w="70"/>
              <w:left w:type="dxa" w:w="120"/>
              <w:bottom w:type="dxa" w:w="70"/>
              <w:right w:type="dxa" w:w="120"/>
            </w:tcMar>
          </w:tcPr>
          <w:p>
            <w:r>
              <w:rPr>
                <w:sz w:val="19"/>
                <w:szCs w:val="19"/>
              </w:rPr>
              <w:t xml:space="preserve">1,959</w:t>
            </w:r>
          </w:p>
        </w:tc>
        <w:tc>
          <w:tcPr>
            <w:tcW w:type="dxa" w:w="1800"/>
            <w:shd w:fill="FFFFFF" w:val="clear"/>
            <w:tcMar>
              <w:top w:type="dxa" w:w="70"/>
              <w:left w:type="dxa" w:w="120"/>
              <w:bottom w:type="dxa" w:w="70"/>
              <w:right w:type="dxa" w:w="120"/>
            </w:tcMar>
          </w:tcPr>
          <w:p>
            <w:r>
              <w:rPr>
                <w:sz w:val="19"/>
                <w:szCs w:val="19"/>
              </w:rPr>
              <w:t xml:space="preserve">1,950</w:t>
            </w:r>
          </w:p>
        </w:tc>
        <w:tc>
          <w:tcPr>
            <w:tcW w:type="dxa" w:w="1800"/>
            <w:shd w:fill="FFFFFF" w:val="clear"/>
            <w:tcMar>
              <w:top w:type="dxa" w:w="70"/>
              <w:left w:type="dxa" w:w="120"/>
              <w:bottom w:type="dxa" w:w="70"/>
              <w:right w:type="dxa" w:w="120"/>
            </w:tcMar>
          </w:tcPr>
          <w:p>
            <w:r>
              <w:rPr>
                <w:sz w:val="19"/>
                <w:szCs w:val="19"/>
              </w:rPr>
              <w:t xml:space="preserve">1,956</w:t>
            </w:r>
          </w:p>
        </w:tc>
      </w:tr>
      <w:tr>
        <w:tc>
          <w:tcPr>
            <w:tcW w:type="dxa" w:w="1800"/>
            <w:shd w:fill="F8FAFC" w:val="clear"/>
            <w:tcMar>
              <w:top w:type="dxa" w:w="70"/>
              <w:left w:type="dxa" w:w="120"/>
              <w:bottom w:type="dxa" w:w="70"/>
              <w:right w:type="dxa" w:w="120"/>
            </w:tcMar>
          </w:tcPr>
          <w:p>
            <w:r>
              <w:rPr>
                <w:sz w:val="19"/>
                <w:szCs w:val="19"/>
              </w:rPr>
              <w:t xml:space="preserve">1,963</w:t>
            </w:r>
          </w:p>
        </w:tc>
        <w:tc>
          <w:tcPr>
            <w:tcW w:type="dxa" w:w="1800"/>
            <w:shd w:fill="F8FAFC" w:val="clear"/>
            <w:tcMar>
              <w:top w:type="dxa" w:w="70"/>
              <w:left w:type="dxa" w:w="120"/>
              <w:bottom w:type="dxa" w:w="70"/>
              <w:right w:type="dxa" w:w="120"/>
            </w:tcMar>
          </w:tcPr>
          <w:p>
            <w:r>
              <w:rPr>
                <w:sz w:val="19"/>
                <w:szCs w:val="19"/>
              </w:rPr>
              <w:t xml:space="preserve">1,979</w:t>
            </w:r>
          </w:p>
        </w:tc>
        <w:tc>
          <w:tcPr>
            <w:tcW w:type="dxa" w:w="1800"/>
            <w:shd w:fill="F8FAFC" w:val="clear"/>
            <w:tcMar>
              <w:top w:type="dxa" w:w="70"/>
              <w:left w:type="dxa" w:w="120"/>
              <w:bottom w:type="dxa" w:w="70"/>
              <w:right w:type="dxa" w:w="120"/>
            </w:tcMar>
          </w:tcPr>
          <w:p>
            <w:r>
              <w:rPr>
                <w:sz w:val="19"/>
                <w:szCs w:val="19"/>
              </w:rPr>
              <w:t xml:space="preserve">2,000</w:t>
            </w:r>
          </w:p>
        </w:tc>
        <w:tc>
          <w:tcPr>
            <w:tcW w:type="dxa" w:w="1800"/>
            <w:shd w:fill="F8FAFC" w:val="clear"/>
            <w:tcMar>
              <w:top w:type="dxa" w:w="70"/>
              <w:left w:type="dxa" w:w="120"/>
              <w:bottom w:type="dxa" w:w="70"/>
              <w:right w:type="dxa" w:w="120"/>
            </w:tcMar>
          </w:tcPr>
          <w:p>
            <w:r>
              <w:rPr>
                <w:sz w:val="19"/>
                <w:szCs w:val="19"/>
              </w:rPr>
              <w:t xml:space="preserve">1,973</w:t>
            </w:r>
          </w:p>
        </w:tc>
        <w:tc>
          <w:tcPr>
            <w:tcW w:type="dxa" w:w="1800"/>
            <w:shd w:fill="F8FAFC" w:val="clear"/>
            <w:tcMar>
              <w:top w:type="dxa" w:w="70"/>
              <w:left w:type="dxa" w:w="120"/>
              <w:bottom w:type="dxa" w:w="70"/>
              <w:right w:type="dxa" w:w="120"/>
            </w:tcMar>
          </w:tcPr>
          <w:p>
            <w:r>
              <w:rPr>
                <w:sz w:val="19"/>
                <w:szCs w:val="19"/>
              </w:rPr>
              <w:t xml:space="preserve">1,957</w:t>
            </w:r>
          </w:p>
        </w:tc>
      </w:tr>
      <w:tr>
        <w:tc>
          <w:tcPr>
            <w:tcW w:type="dxa" w:w="1800"/>
            <w:shd w:fill="FFFFFF" w:val="clear"/>
            <w:tcMar>
              <w:top w:type="dxa" w:w="70"/>
              <w:left w:type="dxa" w:w="120"/>
              <w:bottom w:type="dxa" w:w="70"/>
              <w:right w:type="dxa" w:w="120"/>
            </w:tcMar>
          </w:tcPr>
          <w:p>
            <w:r>
              <w:rPr>
                <w:sz w:val="19"/>
                <w:szCs w:val="19"/>
              </w:rPr>
              <w:t xml:space="preserve">2,001</w:t>
            </w:r>
          </w:p>
        </w:tc>
        <w:tc>
          <w:tcPr>
            <w:tcW w:type="dxa" w:w="1800"/>
            <w:shd w:fill="FFFFFF" w:val="clear"/>
            <w:tcMar>
              <w:top w:type="dxa" w:w="70"/>
              <w:left w:type="dxa" w:w="120"/>
              <w:bottom w:type="dxa" w:w="70"/>
              <w:right w:type="dxa" w:w="120"/>
            </w:tcMar>
          </w:tcPr>
          <w:p>
            <w:r>
              <w:rPr>
                <w:sz w:val="19"/>
                <w:szCs w:val="19"/>
              </w:rPr>
              <w:t xml:space="preserve">2,010</w:t>
            </w:r>
          </w:p>
        </w:tc>
        <w:tc>
          <w:tcPr>
            <w:tcW w:type="dxa" w:w="1800"/>
            <w:shd w:fill="FFFFFF" w:val="clear"/>
            <w:tcMar>
              <w:top w:type="dxa" w:w="70"/>
              <w:left w:type="dxa" w:w="120"/>
              <w:bottom w:type="dxa" w:w="70"/>
              <w:right w:type="dxa" w:w="120"/>
            </w:tcMar>
          </w:tcPr>
          <w:p>
            <w:r>
              <w:rPr>
                <w:sz w:val="19"/>
                <w:szCs w:val="19"/>
              </w:rPr>
              <w:t xml:space="preserve">1,988</w:t>
            </w:r>
          </w:p>
        </w:tc>
        <w:tc>
          <w:tcPr>
            <w:tcW w:type="dxa" w:w="1800"/>
            <w:shd w:fill="FFFFFF" w:val="clear"/>
            <w:tcMar>
              <w:top w:type="dxa" w:w="70"/>
              <w:left w:type="dxa" w:w="120"/>
              <w:bottom w:type="dxa" w:w="70"/>
              <w:right w:type="dxa" w:w="120"/>
            </w:tcMar>
          </w:tcPr>
          <w:p>
            <w:r>
              <w:rPr>
                <w:sz w:val="19"/>
                <w:szCs w:val="19"/>
              </w:rPr>
              <w:t xml:space="preserve">1,965</w:t>
            </w:r>
          </w:p>
        </w:tc>
        <w:tc>
          <w:tcPr>
            <w:tcW w:type="dxa" w:w="1800"/>
            <w:shd w:fill="FFFFFF" w:val="clear"/>
            <w:tcMar>
              <w:top w:type="dxa" w:w="70"/>
              <w:left w:type="dxa" w:w="120"/>
              <w:bottom w:type="dxa" w:w="70"/>
              <w:right w:type="dxa" w:w="120"/>
            </w:tcMar>
          </w:tcPr>
          <w:p>
            <w:r>
              <w:rPr>
                <w:sz w:val="19"/>
                <w:szCs w:val="19"/>
              </w:rPr>
              <w:t xml:space="preserve">1,970</w:t>
            </w:r>
          </w:p>
        </w:tc>
      </w:tr>
      <w:tr>
        <w:tc>
          <w:tcPr>
            <w:tcW w:type="dxa" w:w="1800"/>
            <w:shd w:fill="F8FAFC" w:val="clear"/>
            <w:tcMar>
              <w:top w:type="dxa" w:w="70"/>
              <w:left w:type="dxa" w:w="120"/>
              <w:bottom w:type="dxa" w:w="70"/>
              <w:right w:type="dxa" w:w="120"/>
            </w:tcMar>
          </w:tcPr>
          <w:p>
            <w:r>
              <w:rPr>
                <w:sz w:val="19"/>
                <w:szCs w:val="19"/>
              </w:rPr>
              <w:t xml:space="preserve">1,998</w:t>
            </w:r>
          </w:p>
        </w:tc>
        <w:tc>
          <w:tcPr>
            <w:tcW w:type="dxa" w:w="1800"/>
            <w:shd w:fill="F8FAFC" w:val="clear"/>
            <w:tcMar>
              <w:top w:type="dxa" w:w="70"/>
              <w:left w:type="dxa" w:w="120"/>
              <w:bottom w:type="dxa" w:w="70"/>
              <w:right w:type="dxa" w:w="120"/>
            </w:tcMar>
          </w:tcPr>
          <w:p>
            <w:r>
              <w:rPr>
                <w:sz w:val="19"/>
                <w:szCs w:val="19"/>
              </w:rPr>
              <w:t xml:space="preserve">1,995</w:t>
            </w:r>
          </w:p>
        </w:tc>
        <w:tc>
          <w:tcPr>
            <w:tcW w:type="dxa" w:w="1800"/>
            <w:shd w:fill="F8FAFC" w:val="clear"/>
            <w:tcMar>
              <w:top w:type="dxa" w:w="70"/>
              <w:left w:type="dxa" w:w="120"/>
              <w:bottom w:type="dxa" w:w="70"/>
              <w:right w:type="dxa" w:w="120"/>
            </w:tcMar>
          </w:tcPr>
          <w:p>
            <w:r>
              <w:rPr>
                <w:sz w:val="19"/>
                <w:szCs w:val="19"/>
              </w:rPr>
              <w:t xml:space="preserve">2,005</w:t>
            </w:r>
          </w:p>
        </w:tc>
        <w:tc>
          <w:tcPr>
            <w:tcW w:type="dxa" w:w="1800"/>
            <w:shd w:fill="F8FAFC" w:val="clear"/>
            <w:tcMar>
              <w:top w:type="dxa" w:w="70"/>
              <w:left w:type="dxa" w:w="120"/>
              <w:bottom w:type="dxa" w:w="70"/>
              <w:right w:type="dxa" w:w="120"/>
            </w:tcMar>
          </w:tcPr>
          <w:p>
            <w:r>
              <w:rPr>
                <w:sz w:val="19"/>
                <w:szCs w:val="19"/>
              </w:rPr>
              <w:t xml:space="preserve">1,980</w:t>
            </w:r>
          </w:p>
        </w:tc>
        <w:tc>
          <w:tcPr>
            <w:tcW w:type="dxa" w:w="1800"/>
            <w:shd w:fill="F8FAFC" w:val="clear"/>
            <w:tcMar>
              <w:top w:type="dxa" w:w="70"/>
              <w:left w:type="dxa" w:w="120"/>
              <w:bottom w:type="dxa" w:w="70"/>
              <w:right w:type="dxa" w:w="120"/>
            </w:tcMar>
          </w:tcPr>
          <w:p>
            <w:r>
              <w:rPr>
                <w:sz w:val="19"/>
                <w:szCs w:val="19"/>
              </w:rPr>
              <w:t xml:space="preserve">1,975</w:t>
            </w:r>
          </w:p>
        </w:tc>
      </w:tr>
    </w:tbl>
    <w:p>
      <w:pPr>
        <w:spacing w:after="140"/>
      </w:pPr>
    </w:p>
    <w:p>
      <w:pPr>
        <w:pStyle w:val="Heading3"/>
        <w:spacing w:after="100" w:before="180"/>
      </w:pPr>
      <w:r>
        <w:t xml:space="preserve">Långt format — sök på prov-ID</w:t>
      </w:r>
    </w:p>
    <w:p>
      <w:pPr>
        <w:spacing w:after="120" w:line="276"/>
      </w:pPr>
      <w:r>
        <w:rPr>
          <w:sz w:val="21"/>
          <w:szCs w:val="21"/>
        </w:rPr>
        <w:t xml:space="preserve">Används när alla mätningar ligger i en lång lista. Du väljer prov-ID och programmet hämtar alla resultat för det provet. Har filen en datumkolumn bör du gruppera efter den; annars delas resultaten upp i grupper om ett valt antal per dag.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E40AF" w:val="clear"/>
            <w:tcMar>
              <w:top w:type="dxa" w:w="80"/>
              <w:left w:type="dxa" w:w="120"/>
              <w:bottom w:type="dxa" w:w="80"/>
              <w:right w:type="dxa" w:w="120"/>
            </w:tcMar>
          </w:tcPr>
          <w:p>
            <w:r>
              <w:rPr>
                <w:b/>
                <w:bCs/>
                <w:color w:val="FFFFFF"/>
                <w:sz w:val="19"/>
                <w:szCs w:val="19"/>
              </w:rPr>
              <w:t xml:space="preserve">Prov-ID</w:t>
            </w:r>
          </w:p>
        </w:tc>
        <w:tc>
          <w:tcPr>
            <w:tcW w:type="dxa" w:w="2250"/>
            <w:shd w:fill="1E40AF" w:val="clear"/>
            <w:tcMar>
              <w:top w:type="dxa" w:w="80"/>
              <w:left w:type="dxa" w:w="120"/>
              <w:bottom w:type="dxa" w:w="80"/>
              <w:right w:type="dxa" w:w="120"/>
            </w:tcMar>
          </w:tcPr>
          <w:p>
            <w:r>
              <w:rPr>
                <w:b/>
                <w:bCs/>
                <w:color w:val="FFFFFF"/>
                <w:sz w:val="19"/>
                <w:szCs w:val="19"/>
              </w:rPr>
              <w:t xml:space="preserve">Analys</w:t>
            </w:r>
          </w:p>
        </w:tc>
        <w:tc>
          <w:tcPr>
            <w:tcW w:type="dxa" w:w="2250"/>
            <w:shd w:fill="1E40AF" w:val="clear"/>
            <w:tcMar>
              <w:top w:type="dxa" w:w="80"/>
              <w:left w:type="dxa" w:w="120"/>
              <w:bottom w:type="dxa" w:w="80"/>
              <w:right w:type="dxa" w:w="120"/>
            </w:tcMar>
          </w:tcPr>
          <w:p>
            <w:r>
              <w:rPr>
                <w:b/>
                <w:bCs/>
                <w:color w:val="FFFFFF"/>
                <w:sz w:val="19"/>
                <w:szCs w:val="19"/>
              </w:rPr>
              <w:t xml:space="preserve">Datum</w:t>
            </w:r>
          </w:p>
        </w:tc>
        <w:tc>
          <w:tcPr>
            <w:tcW w:type="dxa" w:w="2250"/>
            <w:shd w:fill="1E40AF" w:val="clear"/>
            <w:tcMar>
              <w:top w:type="dxa" w:w="80"/>
              <w:left w:type="dxa" w:w="120"/>
              <w:bottom w:type="dxa" w:w="80"/>
              <w:right w:type="dxa" w:w="120"/>
            </w:tcMar>
          </w:tcPr>
          <w:p>
            <w:r>
              <w:rPr>
                <w:b/>
                <w:bCs/>
                <w:color w:val="FFFFFF"/>
                <w:sz w:val="19"/>
                <w:szCs w:val="19"/>
              </w:rPr>
              <w:t xml:space="preserve">Resultat</w:t>
            </w:r>
          </w:p>
        </w:tc>
      </w:tr>
      <w:tr>
        <w:tc>
          <w:tcPr>
            <w:tcW w:type="dxa" w:w="2250"/>
            <w:shd w:fill="F8FAFC" w:val="clear"/>
            <w:tcMar>
              <w:top w:type="dxa" w:w="70"/>
              <w:left w:type="dxa" w:w="120"/>
              <w:bottom w:type="dxa" w:w="70"/>
              <w:right w:type="dxa" w:w="120"/>
            </w:tcMar>
          </w:tcPr>
          <w:p>
            <w:r>
              <w:rPr>
                <w:sz w:val="19"/>
                <w:szCs w:val="19"/>
              </w:rPr>
              <w:t xml:space="preserve">QC-Hög</w:t>
            </w:r>
          </w:p>
        </w:tc>
        <w:tc>
          <w:tcPr>
            <w:tcW w:type="dxa" w:w="2250"/>
            <w:shd w:fill="F8FAFC" w:val="clear"/>
            <w:tcMar>
              <w:top w:type="dxa" w:w="70"/>
              <w:left w:type="dxa" w:w="120"/>
              <w:bottom w:type="dxa" w:w="70"/>
              <w:right w:type="dxa" w:w="120"/>
            </w:tcMar>
          </w:tcPr>
          <w:p>
            <w:r>
              <w:rPr>
                <w:sz w:val="19"/>
                <w:szCs w:val="19"/>
              </w:rPr>
              <w:t xml:space="preserve">FT4</w:t>
            </w:r>
          </w:p>
        </w:tc>
        <w:tc>
          <w:tcPr>
            <w:tcW w:type="dxa" w:w="2250"/>
            <w:shd w:fill="F8FAFC" w:val="clear"/>
            <w:tcMar>
              <w:top w:type="dxa" w:w="70"/>
              <w:left w:type="dxa" w:w="120"/>
              <w:bottom w:type="dxa" w:w="70"/>
              <w:right w:type="dxa" w:w="120"/>
            </w:tcMar>
          </w:tcPr>
          <w:p>
            <w:r>
              <w:rPr>
                <w:sz w:val="19"/>
                <w:szCs w:val="19"/>
              </w:rPr>
              <w:t xml:space="preserve">2026-03-02</w:t>
            </w:r>
          </w:p>
        </w:tc>
        <w:tc>
          <w:tcPr>
            <w:tcW w:type="dxa" w:w="2250"/>
            <w:shd w:fill="F8FAFC" w:val="clear"/>
            <w:tcMar>
              <w:top w:type="dxa" w:w="70"/>
              <w:left w:type="dxa" w:w="120"/>
              <w:bottom w:type="dxa" w:w="70"/>
              <w:right w:type="dxa" w:w="120"/>
            </w:tcMar>
          </w:tcPr>
          <w:p>
            <w:r>
              <w:rPr>
                <w:sz w:val="19"/>
                <w:szCs w:val="19"/>
              </w:rPr>
              <w:t xml:space="preserve">19,8</w:t>
            </w:r>
          </w:p>
        </w:tc>
      </w:tr>
      <w:tr>
        <w:tc>
          <w:tcPr>
            <w:tcW w:type="dxa" w:w="2250"/>
            <w:shd w:fill="FFFFFF" w:val="clear"/>
            <w:tcMar>
              <w:top w:type="dxa" w:w="70"/>
              <w:left w:type="dxa" w:w="120"/>
              <w:bottom w:type="dxa" w:w="70"/>
              <w:right w:type="dxa" w:w="120"/>
            </w:tcMar>
          </w:tcPr>
          <w:p>
            <w:r>
              <w:rPr>
                <w:sz w:val="19"/>
                <w:szCs w:val="19"/>
              </w:rPr>
              <w:t xml:space="preserve">QC-Hög</w:t>
            </w:r>
          </w:p>
        </w:tc>
        <w:tc>
          <w:tcPr>
            <w:tcW w:type="dxa" w:w="2250"/>
            <w:shd w:fill="FFFFFF" w:val="clear"/>
            <w:tcMar>
              <w:top w:type="dxa" w:w="70"/>
              <w:left w:type="dxa" w:w="120"/>
              <w:bottom w:type="dxa" w:w="70"/>
              <w:right w:type="dxa" w:w="120"/>
            </w:tcMar>
          </w:tcPr>
          <w:p>
            <w:r>
              <w:rPr>
                <w:sz w:val="19"/>
                <w:szCs w:val="19"/>
              </w:rPr>
              <w:t xml:space="preserve">FT4</w:t>
            </w:r>
          </w:p>
        </w:tc>
        <w:tc>
          <w:tcPr>
            <w:tcW w:type="dxa" w:w="2250"/>
            <w:shd w:fill="FFFFFF" w:val="clear"/>
            <w:tcMar>
              <w:top w:type="dxa" w:w="70"/>
              <w:left w:type="dxa" w:w="120"/>
              <w:bottom w:type="dxa" w:w="70"/>
              <w:right w:type="dxa" w:w="120"/>
            </w:tcMar>
          </w:tcPr>
          <w:p>
            <w:r>
              <w:rPr>
                <w:sz w:val="19"/>
                <w:szCs w:val="19"/>
              </w:rPr>
              <w:t xml:space="preserve">2026-03-02</w:t>
            </w:r>
          </w:p>
        </w:tc>
        <w:tc>
          <w:tcPr>
            <w:tcW w:type="dxa" w:w="2250"/>
            <w:shd w:fill="FFFFFF" w:val="clear"/>
            <w:tcMar>
              <w:top w:type="dxa" w:w="70"/>
              <w:left w:type="dxa" w:w="120"/>
              <w:bottom w:type="dxa" w:w="70"/>
              <w:right w:type="dxa" w:w="120"/>
            </w:tcMar>
          </w:tcPr>
          <w:p>
            <w:r>
              <w:rPr>
                <w:sz w:val="19"/>
                <w:szCs w:val="19"/>
              </w:rPr>
              <w:t xml:space="preserve">20,1</w:t>
            </w:r>
          </w:p>
        </w:tc>
      </w:tr>
      <w:tr>
        <w:tc>
          <w:tcPr>
            <w:tcW w:type="dxa" w:w="2250"/>
            <w:shd w:fill="F8FAFC" w:val="clear"/>
            <w:tcMar>
              <w:top w:type="dxa" w:w="70"/>
              <w:left w:type="dxa" w:w="120"/>
              <w:bottom w:type="dxa" w:w="70"/>
              <w:right w:type="dxa" w:w="120"/>
            </w:tcMar>
          </w:tcPr>
          <w:p>
            <w:r>
              <w:rPr>
                <w:sz w:val="19"/>
                <w:szCs w:val="19"/>
              </w:rPr>
              <w:t xml:space="preserve">QC-Hög</w:t>
            </w:r>
          </w:p>
        </w:tc>
        <w:tc>
          <w:tcPr>
            <w:tcW w:type="dxa" w:w="2250"/>
            <w:shd w:fill="F8FAFC" w:val="clear"/>
            <w:tcMar>
              <w:top w:type="dxa" w:w="70"/>
              <w:left w:type="dxa" w:w="120"/>
              <w:bottom w:type="dxa" w:w="70"/>
              <w:right w:type="dxa" w:w="120"/>
            </w:tcMar>
          </w:tcPr>
          <w:p>
            <w:r>
              <w:rPr>
                <w:sz w:val="19"/>
                <w:szCs w:val="19"/>
              </w:rPr>
              <w:t xml:space="preserve">FT4</w:t>
            </w:r>
          </w:p>
        </w:tc>
        <w:tc>
          <w:tcPr>
            <w:tcW w:type="dxa" w:w="2250"/>
            <w:shd w:fill="F8FAFC" w:val="clear"/>
            <w:tcMar>
              <w:top w:type="dxa" w:w="70"/>
              <w:left w:type="dxa" w:w="120"/>
              <w:bottom w:type="dxa" w:w="70"/>
              <w:right w:type="dxa" w:w="120"/>
            </w:tcMar>
          </w:tcPr>
          <w:p>
            <w:r>
              <w:rPr>
                <w:sz w:val="19"/>
                <w:szCs w:val="19"/>
              </w:rPr>
              <w:t xml:space="preserve">2026-03-03</w:t>
            </w:r>
          </w:p>
        </w:tc>
        <w:tc>
          <w:tcPr>
            <w:tcW w:type="dxa" w:w="2250"/>
            <w:shd w:fill="F8FAFC" w:val="clear"/>
            <w:tcMar>
              <w:top w:type="dxa" w:w="70"/>
              <w:left w:type="dxa" w:w="120"/>
              <w:bottom w:type="dxa" w:w="70"/>
              <w:right w:type="dxa" w:w="120"/>
            </w:tcMar>
          </w:tcPr>
          <w:p>
            <w:r>
              <w:rPr>
                <w:sz w:val="19"/>
                <w:szCs w:val="19"/>
              </w:rPr>
              <w:t xml:space="preserve">19,9</w:t>
            </w:r>
          </w:p>
        </w:tc>
      </w:tr>
      <w:tr>
        <w:tc>
          <w:tcPr>
            <w:tcW w:type="dxa" w:w="2250"/>
            <w:shd w:fill="FFFFFF" w:val="clear"/>
            <w:tcMar>
              <w:top w:type="dxa" w:w="70"/>
              <w:left w:type="dxa" w:w="120"/>
              <w:bottom w:type="dxa" w:w="70"/>
              <w:right w:type="dxa" w:w="120"/>
            </w:tcMar>
          </w:tcPr>
          <w:p>
            <w:r>
              <w:rPr>
                <w:sz w:val="19"/>
                <w:szCs w:val="19"/>
              </w:rPr>
              <w:t xml:space="preserve">QC-Hög</w:t>
            </w:r>
          </w:p>
        </w:tc>
        <w:tc>
          <w:tcPr>
            <w:tcW w:type="dxa" w:w="2250"/>
            <w:shd w:fill="FFFFFF" w:val="clear"/>
            <w:tcMar>
              <w:top w:type="dxa" w:w="70"/>
              <w:left w:type="dxa" w:w="120"/>
              <w:bottom w:type="dxa" w:w="70"/>
              <w:right w:type="dxa" w:w="120"/>
            </w:tcMar>
          </w:tcPr>
          <w:p>
            <w:r>
              <w:rPr>
                <w:sz w:val="19"/>
                <w:szCs w:val="19"/>
              </w:rPr>
              <w:t xml:space="preserve">FT4</w:t>
            </w:r>
          </w:p>
        </w:tc>
        <w:tc>
          <w:tcPr>
            <w:tcW w:type="dxa" w:w="2250"/>
            <w:shd w:fill="FFFFFF" w:val="clear"/>
            <w:tcMar>
              <w:top w:type="dxa" w:w="70"/>
              <w:left w:type="dxa" w:w="120"/>
              <w:bottom w:type="dxa" w:w="70"/>
              <w:right w:type="dxa" w:w="120"/>
            </w:tcMar>
          </w:tcPr>
          <w:p>
            <w:r>
              <w:rPr>
                <w:sz w:val="19"/>
                <w:szCs w:val="19"/>
              </w:rPr>
              <w:t xml:space="preserve">2026-03-03</w:t>
            </w:r>
          </w:p>
        </w:tc>
        <w:tc>
          <w:tcPr>
            <w:tcW w:type="dxa" w:w="2250"/>
            <w:shd w:fill="FFFFFF" w:val="clear"/>
            <w:tcMar>
              <w:top w:type="dxa" w:w="70"/>
              <w:left w:type="dxa" w:w="120"/>
              <w:bottom w:type="dxa" w:w="70"/>
              <w:right w:type="dxa" w:w="120"/>
            </w:tcMar>
          </w:tcPr>
          <w:p>
            <w:r>
              <w:rPr>
                <w:sz w:val="19"/>
                <w:szCs w:val="19"/>
              </w:rPr>
              <w:t xml:space="preserve">20,3</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EF3C7" w:val="clear"/>
            <w:tcMar>
              <w:top w:type="dxa" w:w="140"/>
              <w:left w:type="dxa" w:w="180"/>
              <w:bottom w:type="dxa" w:w="140"/>
              <w:right w:type="dxa" w:w="180"/>
            </w:tcMar>
          </w:tcPr>
          <w:p>
            <w:pPr>
              <w:spacing w:after="80"/>
            </w:pPr>
            <w:r>
              <w:rPr>
                <w:b/>
                <w:bCs/>
                <w:color w:val="1E40AF"/>
                <w:sz w:val="21"/>
                <w:szCs w:val="21"/>
              </w:rPr>
              <w:t xml:space="preserve">Viktigt om dagindelning</w:t>
            </w:r>
          </w:p>
          <w:p>
            <w:pPr>
              <w:spacing w:after="50"/>
            </w:pPr>
            <w:r>
              <w:rPr>
                <w:sz w:val="20"/>
                <w:szCs w:val="20"/>
              </w:rPr>
              <w:t xml:space="preserve">Gruppera alltid efter datumkolumn när en sådan finns. Om du i stället delar upp efter ett fast antal per dag och antalet inte stämmer med verkligheten hamnar mätningar från olika dagar i samma grupp.</w:t>
            </w:r>
          </w:p>
          <w:p>
            <w:pPr>
              <w:spacing w:after="50"/>
            </w:pPr>
            <w:r>
              <w:rPr>
                <w:sz w:val="20"/>
                <w:szCs w:val="20"/>
              </w:rPr>
              <w:t xml:space="preserve">Detta gör att variationen mellan dagar underskattas och den totala imprecisionen blir för låg.</w:t>
            </w:r>
          </w:p>
        </w:tc>
      </w:tr>
    </w:tbl>
    <w:p>
      <w:r>
        <w:br w:type="page"/>
      </w:r>
    </w:p>
    <w:p>
      <w:pPr>
        <w:pStyle w:val="Heading1"/>
        <w:spacing w:after="160" w:before="320"/>
      </w:pPr>
      <w:r>
        <w:t xml:space="preserve">4. Passing–Bablok-regression</w:t>
      </w:r>
    </w:p>
    <w:p>
      <w:pPr>
        <w:spacing w:after="120" w:line="276"/>
      </w:pPr>
      <w:r>
        <w:rPr>
          <w:sz w:val="21"/>
          <w:szCs w:val="21"/>
        </w:rPr>
        <w:t xml:space="preserve">Passing–Bablok är förstahandsvalet vid metodjämförelse. Metoden beräknar lutning och intercept utifrån medianen av alla parvisa lutningar mellan datapunkterna. Den förutsätter varken normalfördelning eller att någon av metoderna är felfri, och enstaka extremvärden påverkar inte resultatet nämnvärt.</w:t>
      </w:r>
    </w:p>
    <w:p>
      <w:pPr>
        <w:spacing w:after="140"/>
      </w:pPr>
    </w:p>
    <w:p>
      <w:pPr>
        <w:pStyle w:val="Heading2"/>
        <w:spacing w:after="120" w:before="240"/>
      </w:pPr>
      <w:r>
        <w:t xml:space="preserve">4.1 Gör så här</w:t>
      </w:r>
    </w:p>
    <w:p>
      <w:pPr>
        <w:pStyle w:val="ListParagraph"/>
        <w:numPr>
          <w:ilvl w:val="0"/>
          <w:numId w:val="3"/>
        </w:numPr>
        <w:spacing w:after="60" w:line="276"/>
      </w:pPr>
      <w:r>
        <w:rPr>
          <w:sz w:val="21"/>
          <w:szCs w:val="21"/>
        </w:rPr>
        <w:t xml:space="preserve">Välj Passing–Bablok under ① Välj analys.</w:t>
      </w:r>
    </w:p>
    <w:p>
      <w:pPr>
        <w:pStyle w:val="ListParagraph"/>
        <w:numPr>
          <w:ilvl w:val="0"/>
          <w:numId w:val="3"/>
        </w:numPr>
        <w:spacing w:after="60" w:line="276"/>
      </w:pPr>
      <w:r>
        <w:rPr>
          <w:sz w:val="21"/>
          <w:szCs w:val="21"/>
        </w:rPr>
        <w:t xml:space="preserve">Ladda upp din fil under ② Ladda data och peka ut vilka kolumner som innehåller referensmetod respektive ny metod.</w:t>
      </w:r>
    </w:p>
    <w:p>
      <w:pPr>
        <w:pStyle w:val="ListParagraph"/>
        <w:numPr>
          <w:ilvl w:val="0"/>
          <w:numId w:val="3"/>
        </w:numPr>
        <w:spacing w:after="60" w:line="276"/>
      </w:pPr>
      <w:r>
        <w:rPr>
          <w:sz w:val="21"/>
          <w:szCs w:val="21"/>
        </w:rPr>
        <w:t xml:space="preserve">Skriv metodernas namn under ③ Namnge metoder. Namnen används som axeletiketter.</w:t>
      </w:r>
    </w:p>
    <w:p>
      <w:pPr>
        <w:pStyle w:val="ListParagraph"/>
        <w:numPr>
          <w:ilvl w:val="0"/>
          <w:numId w:val="3"/>
        </w:numPr>
        <w:spacing w:after="60" w:line="276"/>
      </w:pPr>
      <w:r>
        <w:rPr>
          <w:sz w:val="21"/>
          <w:szCs w:val="21"/>
        </w:rPr>
        <w:t xml:space="preserve">Klicka på Analysera.</w:t>
      </w:r>
    </w:p>
    <w:p>
      <w:pPr>
        <w:spacing w:after="140"/>
      </w:pPr>
    </w:p>
    <w:p>
      <w:pPr>
        <w:pStyle w:val="Heading2"/>
        <w:spacing w:after="120" w:before="240"/>
      </w:pPr>
      <w:r>
        <w:t xml:space="preserve">4.2 Tolkning av resultatet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2700"/>
      </w:tblGrid>
      <w:tr>
        <w:trPr>
          <w:tblHeader/>
        </w:trPr>
        <w:tc>
          <w:tcPr>
            <w:tcW w:type="dxa" w:w="2100"/>
            <w:shd w:fill="1E40AF" w:val="clear"/>
            <w:tcMar>
              <w:top w:type="dxa" w:w="80"/>
              <w:left w:type="dxa" w:w="120"/>
              <w:bottom w:type="dxa" w:w="80"/>
              <w:right w:type="dxa" w:w="120"/>
            </w:tcMar>
          </w:tcPr>
          <w:p>
            <w:r>
              <w:rPr>
                <w:b/>
                <w:bCs/>
                <w:color w:val="FFFFFF"/>
                <w:sz w:val="19"/>
                <w:szCs w:val="19"/>
              </w:rPr>
              <w:t xml:space="preserve">Storhet</w:t>
            </w:r>
          </w:p>
        </w:tc>
        <w:tc>
          <w:tcPr>
            <w:tcW w:type="dxa" w:w="4200"/>
            <w:shd w:fill="1E40AF" w:val="clear"/>
            <w:tcMar>
              <w:top w:type="dxa" w:w="80"/>
              <w:left w:type="dxa" w:w="120"/>
              <w:bottom w:type="dxa" w:w="80"/>
              <w:right w:type="dxa" w:w="120"/>
            </w:tcMar>
          </w:tcPr>
          <w:p>
            <w:r>
              <w:rPr>
                <w:b/>
                <w:bCs/>
                <w:color w:val="FFFFFF"/>
                <w:sz w:val="19"/>
                <w:szCs w:val="19"/>
              </w:rPr>
              <w:t xml:space="preserve">Betydelse</w:t>
            </w:r>
          </w:p>
        </w:tc>
        <w:tc>
          <w:tcPr>
            <w:tcW w:type="dxa" w:w="2700"/>
            <w:shd w:fill="1E40AF" w:val="clear"/>
            <w:tcMar>
              <w:top w:type="dxa" w:w="80"/>
              <w:left w:type="dxa" w:w="120"/>
              <w:bottom w:type="dxa" w:w="80"/>
              <w:right w:type="dxa" w:w="120"/>
            </w:tcMar>
          </w:tcPr>
          <w:p>
            <w:r>
              <w:rPr>
                <w:b/>
                <w:bCs/>
                <w:color w:val="FFFFFF"/>
                <w:sz w:val="19"/>
                <w:szCs w:val="19"/>
              </w:rPr>
              <w:t xml:space="preserve">Ingen skillnad mellan metoderna om</w:t>
            </w:r>
          </w:p>
        </w:tc>
      </w:tr>
      <w:tr>
        <w:tc>
          <w:tcPr>
            <w:tcW w:type="dxa" w:w="2100"/>
            <w:shd w:fill="F8FAFC" w:val="clear"/>
            <w:tcMar>
              <w:top w:type="dxa" w:w="70"/>
              <w:left w:type="dxa" w:w="120"/>
              <w:bottom w:type="dxa" w:w="70"/>
              <w:right w:type="dxa" w:w="120"/>
            </w:tcMar>
          </w:tcPr>
          <w:p>
            <w:r>
              <w:rPr>
                <w:sz w:val="19"/>
                <w:szCs w:val="19"/>
              </w:rPr>
              <w:t xml:space="preserve">Lutning (slope)</w:t>
            </w:r>
          </w:p>
        </w:tc>
        <w:tc>
          <w:tcPr>
            <w:tcW w:type="dxa" w:w="4200"/>
            <w:shd w:fill="F8FAFC" w:val="clear"/>
            <w:tcMar>
              <w:top w:type="dxa" w:w="70"/>
              <w:left w:type="dxa" w:w="120"/>
              <w:bottom w:type="dxa" w:w="70"/>
              <w:right w:type="dxa" w:w="120"/>
            </w:tcMar>
          </w:tcPr>
          <w:p>
            <w:r>
              <w:rPr>
                <w:sz w:val="19"/>
                <w:szCs w:val="19"/>
              </w:rPr>
              <w:t xml:space="preserve">Proportionellt fel. Anger om den nya metoden ger systematiskt högre eller lägre värden ju högre koncentrationen är.</w:t>
            </w:r>
          </w:p>
        </w:tc>
        <w:tc>
          <w:tcPr>
            <w:tcW w:type="dxa" w:w="2700"/>
            <w:shd w:fill="F8FAFC" w:val="clear"/>
            <w:tcMar>
              <w:top w:type="dxa" w:w="70"/>
              <w:left w:type="dxa" w:w="120"/>
              <w:bottom w:type="dxa" w:w="70"/>
              <w:right w:type="dxa" w:w="120"/>
            </w:tcMar>
          </w:tcPr>
          <w:p>
            <w:r>
              <w:rPr>
                <w:sz w:val="19"/>
                <w:szCs w:val="19"/>
              </w:rPr>
              <w:t xml:space="preserve">95 % KI innehåller 1,0</w:t>
            </w:r>
          </w:p>
        </w:tc>
      </w:tr>
      <w:tr>
        <w:tc>
          <w:tcPr>
            <w:tcW w:type="dxa" w:w="2100"/>
            <w:shd w:fill="FFFFFF" w:val="clear"/>
            <w:tcMar>
              <w:top w:type="dxa" w:w="70"/>
              <w:left w:type="dxa" w:w="120"/>
              <w:bottom w:type="dxa" w:w="70"/>
              <w:right w:type="dxa" w:w="120"/>
            </w:tcMar>
          </w:tcPr>
          <w:p>
            <w:r>
              <w:rPr>
                <w:sz w:val="19"/>
                <w:szCs w:val="19"/>
              </w:rPr>
              <w:t xml:space="preserve">Intercept</w:t>
            </w:r>
          </w:p>
        </w:tc>
        <w:tc>
          <w:tcPr>
            <w:tcW w:type="dxa" w:w="4200"/>
            <w:shd w:fill="FFFFFF" w:val="clear"/>
            <w:tcMar>
              <w:top w:type="dxa" w:w="70"/>
              <w:left w:type="dxa" w:w="120"/>
              <w:bottom w:type="dxa" w:w="70"/>
              <w:right w:type="dxa" w:w="120"/>
            </w:tcMar>
          </w:tcPr>
          <w:p>
            <w:r>
              <w:rPr>
                <w:sz w:val="19"/>
                <w:szCs w:val="19"/>
              </w:rPr>
              <w:t xml:space="preserve">Konstant fel. Anger en förskjutning som är lika stor i hela mätområdet.</w:t>
            </w:r>
          </w:p>
        </w:tc>
        <w:tc>
          <w:tcPr>
            <w:tcW w:type="dxa" w:w="2700"/>
            <w:shd w:fill="FFFFFF" w:val="clear"/>
            <w:tcMar>
              <w:top w:type="dxa" w:w="70"/>
              <w:left w:type="dxa" w:w="120"/>
              <w:bottom w:type="dxa" w:w="70"/>
              <w:right w:type="dxa" w:w="120"/>
            </w:tcMar>
          </w:tcPr>
          <w:p>
            <w:r>
              <w:rPr>
                <w:sz w:val="19"/>
                <w:szCs w:val="19"/>
              </w:rPr>
              <w:t xml:space="preserve">95 % KI innehåller 0</w:t>
            </w:r>
          </w:p>
        </w:tc>
      </w:tr>
      <w:tr>
        <w:tc>
          <w:tcPr>
            <w:tcW w:type="dxa" w:w="2100"/>
            <w:shd w:fill="F8FAFC" w:val="clear"/>
            <w:tcMar>
              <w:top w:type="dxa" w:w="70"/>
              <w:left w:type="dxa" w:w="120"/>
              <w:bottom w:type="dxa" w:w="70"/>
              <w:right w:type="dxa" w:w="120"/>
            </w:tcMar>
          </w:tcPr>
          <w:p>
            <w:r>
              <w:rPr>
                <w:sz w:val="19"/>
                <w:szCs w:val="19"/>
              </w:rPr>
              <w:t xml:space="preserve">R²</w:t>
            </w:r>
          </w:p>
        </w:tc>
        <w:tc>
          <w:tcPr>
            <w:tcW w:type="dxa" w:w="4200"/>
            <w:shd w:fill="F8FAFC" w:val="clear"/>
            <w:tcMar>
              <w:top w:type="dxa" w:w="70"/>
              <w:left w:type="dxa" w:w="120"/>
              <w:bottom w:type="dxa" w:w="70"/>
              <w:right w:type="dxa" w:w="120"/>
            </w:tcMar>
          </w:tcPr>
          <w:p>
            <w:r>
              <w:rPr>
                <w:sz w:val="19"/>
                <w:szCs w:val="19"/>
              </w:rPr>
              <w:t xml:space="preserve">Andel av variationen som förklaras av sambandet. Säger inget om systematiskt fel.</w:t>
            </w:r>
          </w:p>
        </w:tc>
        <w:tc>
          <w:tcPr>
            <w:tcW w:type="dxa" w:w="2700"/>
            <w:shd w:fill="F8FAFC" w:val="clear"/>
            <w:tcMar>
              <w:top w:type="dxa" w:w="70"/>
              <w:left w:type="dxa" w:w="120"/>
              <w:bottom w:type="dxa" w:w="70"/>
              <w:right w:type="dxa" w:w="120"/>
            </w:tcMar>
          </w:tcPr>
          <w:p>
            <w:r>
              <w:rPr>
                <w:sz w:val="19"/>
                <w:szCs w:val="19"/>
              </w:rPr>
              <w:t xml:space="preserve">—</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1F5F9" w:val="clear"/>
            <w:tcMar>
              <w:top w:type="dxa" w:w="140"/>
              <w:left w:type="dxa" w:w="180"/>
              <w:bottom w:type="dxa" w:w="140"/>
              <w:right w:type="dxa" w:w="180"/>
            </w:tcMar>
          </w:tcPr>
          <w:p>
            <w:pPr>
              <w:spacing w:after="80"/>
            </w:pPr>
            <w:r>
              <w:rPr>
                <w:b/>
                <w:bCs/>
                <w:color w:val="1E40AF"/>
                <w:sz w:val="21"/>
                <w:szCs w:val="21"/>
              </w:rPr>
              <w:t xml:space="preserve">Tolkningsexempel</w:t>
            </w:r>
          </w:p>
          <w:p>
            <w:pPr>
              <w:spacing w:after="50"/>
            </w:pPr>
            <w:r>
              <w:rPr>
                <w:sz w:val="20"/>
                <w:szCs w:val="20"/>
              </w:rPr>
              <w:t xml:space="preserve">Lutning 1,02 med 95 % KI 0,98–1,06 innehåller 1,0 → inget påvisat proportionellt fel.</w:t>
            </w:r>
          </w:p>
          <w:p>
            <w:pPr>
              <w:spacing w:after="50"/>
            </w:pPr>
            <w:r>
              <w:rPr>
                <w:sz w:val="20"/>
                <w:szCs w:val="20"/>
              </w:rPr>
              <w:t xml:space="preserve">Intercept −0,14 med 95 % KI −0,67–0,23 innehåller 0 → inget påvisat konstant fel.</w:t>
            </w:r>
          </w:p>
          <w:p>
            <w:pPr>
              <w:spacing w:after="50"/>
            </w:pPr>
            <w:r>
              <w:rPr>
                <w:sz w:val="20"/>
                <w:szCs w:val="20"/>
              </w:rPr>
              <w:t xml:space="preserve">Slutsats: metoderna kan anses likvärdiga inom studiens mätområde.</w:t>
            </w:r>
          </w:p>
        </w:tc>
      </w:tr>
    </w:tbl>
    <w:p>
      <w:pPr>
        <w:spacing w:after="140" w:line="276"/>
      </w:pPr>
      <w:r>
        <w:rPr>
          <w:sz w:val="21"/>
          <w:szCs w:val="21"/>
        </w:rPr>
        <w:t xml:space="preserve">Observera att ett konfidensintervall som innehåller 1,0 respektive 0 innebär att man inte kunnat påvisa något systematiskt fel. Det är inte samma sak som att bevisa att skillnaden är noll. Vid få prov blir intervallen breda och analysen får låg känslighet.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EF3C7" w:val="clear"/>
            <w:tcMar>
              <w:top w:type="dxa" w:w="140"/>
              <w:left w:type="dxa" w:w="180"/>
              <w:bottom w:type="dxa" w:w="140"/>
              <w:right w:type="dxa" w:w="180"/>
            </w:tcMar>
          </w:tcPr>
          <w:p>
            <w:pPr>
              <w:spacing w:after="80"/>
            </w:pPr>
            <w:r>
              <w:rPr>
                <w:b/>
                <w:bCs/>
                <w:color w:val="1E40AF"/>
                <w:sz w:val="21"/>
                <w:szCs w:val="21"/>
              </w:rPr>
              <w:t xml:space="preserve">Rekommenderat antal prov</w:t>
            </w:r>
          </w:p>
          <w:p>
            <w:pPr>
              <w:spacing w:after="50"/>
            </w:pPr>
            <w:r>
              <w:rPr>
                <w:sz w:val="20"/>
                <w:szCs w:val="20"/>
              </w:rPr>
              <w:t xml:space="preserve">CLSI EP09 rekommenderar minst 40 patientprov jämnt fördelade över hela mätområdet.</w:t>
            </w:r>
          </w:p>
          <w:p>
            <w:pPr>
              <w:spacing w:after="50"/>
            </w:pPr>
            <w:r>
              <w:rPr>
                <w:sz w:val="20"/>
                <w:szCs w:val="20"/>
              </w:rPr>
              <w:t xml:space="preserve">Programmet kräver tekniskt minst 3 prov, men resultat från färre än 20 prov bör tolkas med stor försiktighet.</w:t>
            </w:r>
          </w:p>
        </w:tc>
      </w:tr>
    </w:tbl>
    <w:p>
      <w:r>
        <w:br w:type="page"/>
      </w:r>
    </w:p>
    <w:p>
      <w:pPr>
        <w:pStyle w:val="Heading1"/>
        <w:spacing w:after="160" w:before="320"/>
      </w:pPr>
      <w:r>
        <w:t xml:space="preserve">5. Deming-regression</w:t>
      </w:r>
    </w:p>
    <w:p>
      <w:pPr>
        <w:spacing w:after="120" w:line="276"/>
      </w:pPr>
      <w:r>
        <w:rPr>
          <w:sz w:val="21"/>
          <w:szCs w:val="21"/>
        </w:rPr>
        <w:t xml:space="preserve">Deming-regression tar hänsyn till mätfel i båda metoderna. Den används när man vill väga in metodernas kända imprecision, eller när materialet är litet och man accepterar antagandet om normalfördelade fel.</w:t>
      </w:r>
    </w:p>
    <w:p>
      <w:pPr>
        <w:spacing w:after="140"/>
      </w:pPr>
    </w:p>
    <w:p>
      <w:pPr>
        <w:pStyle w:val="Heading2"/>
        <w:spacing w:after="120" w:before="240"/>
      </w:pPr>
      <w:r>
        <w:t xml:space="preserve">5.1 Val av felkvot λ</w:t>
      </w:r>
    </w:p>
    <w:p>
      <w:pPr>
        <w:spacing w:after="120" w:line="276"/>
      </w:pPr>
      <w:r>
        <w:rPr>
          <w:sz w:val="21"/>
          <w:szCs w:val="21"/>
        </w:rPr>
        <w:t xml:space="preserve">Felkvoten λ anger förhållandet mellan metodernas felvarianser, λ = Var(y) / Var(x).</w:t>
      </w:r>
    </w:p>
    <w:p>
      <w:pPr>
        <w:pStyle w:val="ListParagraph"/>
        <w:numPr>
          <w:ilvl w:val="0"/>
          <w:numId w:val="2"/>
        </w:numPr>
        <w:spacing w:after="60" w:line="276"/>
      </w:pPr>
      <w:r>
        <w:rPr>
          <w:sz w:val="21"/>
          <w:szCs w:val="21"/>
        </w:rPr>
        <w:t xml:space="preserve">λ = 1 betyder att båda metoderna har lika stor imprecision. Detta är standardvalet och ger ortogonal regression.</w:t>
      </w:r>
    </w:p>
    <w:p>
      <w:pPr>
        <w:pStyle w:val="ListParagraph"/>
        <w:numPr>
          <w:ilvl w:val="0"/>
          <w:numId w:val="2"/>
        </w:numPr>
        <w:spacing w:after="60" w:line="276"/>
      </w:pPr>
      <w:r>
        <w:rPr>
          <w:sz w:val="21"/>
          <w:szCs w:val="21"/>
        </w:rPr>
        <w:t xml:space="preserve">Har metoderna olika imprecision beräknas λ som (CV för ny metod / CV för referensmetod)², där CV hämtas från precisionsvärderingen.</w:t>
      </w:r>
    </w:p>
    <w:p>
      <w:pPr>
        <w:spacing w:after="140"/>
      </w:pPr>
    </w:p>
    <w:p>
      <w:pPr>
        <w:pStyle w:val="Heading2"/>
        <w:spacing w:after="120" w:before="240"/>
      </w:pPr>
      <w:r>
        <w:t xml:space="preserve">5.2 Oviktad eller viktad Deming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1E40AF" w:val="clear"/>
            <w:tcMar>
              <w:top w:type="dxa" w:w="80"/>
              <w:left w:type="dxa" w:w="120"/>
              <w:bottom w:type="dxa" w:w="80"/>
              <w:right w:type="dxa" w:w="120"/>
            </w:tcMar>
          </w:tcPr>
          <w:p>
            <w:r>
              <w:rPr>
                <w:b/>
                <w:bCs/>
                <w:color w:val="FFFFFF"/>
                <w:sz w:val="19"/>
                <w:szCs w:val="19"/>
              </w:rPr>
              <w:t xml:space="preserve">Variant</w:t>
            </w:r>
          </w:p>
        </w:tc>
        <w:tc>
          <w:tcPr>
            <w:tcW w:type="dxa" w:w="3300"/>
            <w:shd w:fill="1E40AF" w:val="clear"/>
            <w:tcMar>
              <w:top w:type="dxa" w:w="80"/>
              <w:left w:type="dxa" w:w="120"/>
              <w:bottom w:type="dxa" w:w="80"/>
              <w:right w:type="dxa" w:w="120"/>
            </w:tcMar>
          </w:tcPr>
          <w:p>
            <w:r>
              <w:rPr>
                <w:b/>
                <w:bCs/>
                <w:color w:val="FFFFFF"/>
                <w:sz w:val="19"/>
                <w:szCs w:val="19"/>
              </w:rPr>
              <w:t xml:space="preserve">Antagande</w:t>
            </w:r>
          </w:p>
        </w:tc>
        <w:tc>
          <w:tcPr>
            <w:tcW w:type="dxa" w:w="3300"/>
            <w:shd w:fill="1E40AF" w:val="clear"/>
            <w:tcMar>
              <w:top w:type="dxa" w:w="80"/>
              <w:left w:type="dxa" w:w="120"/>
              <w:bottom w:type="dxa" w:w="80"/>
              <w:right w:type="dxa" w:w="120"/>
            </w:tcMar>
          </w:tcPr>
          <w:p>
            <w:r>
              <w:rPr>
                <w:b/>
                <w:bCs/>
                <w:color w:val="FFFFFF"/>
                <w:sz w:val="19"/>
                <w:szCs w:val="19"/>
              </w:rPr>
              <w:t xml:space="preserve">Använd när</w:t>
            </w:r>
          </w:p>
        </w:tc>
      </w:tr>
      <w:tr>
        <w:tc>
          <w:tcPr>
            <w:tcW w:type="dxa" w:w="2400"/>
            <w:shd w:fill="F8FAFC" w:val="clear"/>
            <w:tcMar>
              <w:top w:type="dxa" w:w="70"/>
              <w:left w:type="dxa" w:w="120"/>
              <w:bottom w:type="dxa" w:w="70"/>
              <w:right w:type="dxa" w:w="120"/>
            </w:tcMar>
          </w:tcPr>
          <w:p>
            <w:r>
              <w:rPr>
                <w:sz w:val="19"/>
                <w:szCs w:val="19"/>
              </w:rPr>
              <w:t xml:space="preserve">Oviktad (grundinställning)</w:t>
            </w:r>
          </w:p>
        </w:tc>
        <w:tc>
          <w:tcPr>
            <w:tcW w:type="dxa" w:w="3300"/>
            <w:shd w:fill="F8FAFC" w:val="clear"/>
            <w:tcMar>
              <w:top w:type="dxa" w:w="70"/>
              <w:left w:type="dxa" w:w="120"/>
              <w:bottom w:type="dxa" w:w="70"/>
              <w:right w:type="dxa" w:w="120"/>
            </w:tcMar>
          </w:tcPr>
          <w:p>
            <w:r>
              <w:rPr>
                <w:sz w:val="19"/>
                <w:szCs w:val="19"/>
              </w:rPr>
              <w:t xml:space="preserve">Konstant absolut mätosäkerhet i hela mätområdet</w:t>
            </w:r>
          </w:p>
        </w:tc>
        <w:tc>
          <w:tcPr>
            <w:tcW w:type="dxa" w:w="3300"/>
            <w:shd w:fill="F8FAFC" w:val="clear"/>
            <w:tcMar>
              <w:top w:type="dxa" w:w="70"/>
              <w:left w:type="dxa" w:w="120"/>
              <w:bottom w:type="dxa" w:w="70"/>
              <w:right w:type="dxa" w:w="120"/>
            </w:tcMar>
          </w:tcPr>
          <w:p>
            <w:r>
              <w:rPr>
                <w:sz w:val="19"/>
                <w:szCs w:val="19"/>
              </w:rPr>
              <w:t xml:space="preserve">Mätområdet är smalt, eller osäkerheten är ungefär lika stor vid låga och höga värden</w:t>
            </w:r>
          </w:p>
        </w:tc>
      </w:tr>
      <w:tr>
        <w:tc>
          <w:tcPr>
            <w:tcW w:type="dxa" w:w="2400"/>
            <w:shd w:fill="FFFFFF" w:val="clear"/>
            <w:tcMar>
              <w:top w:type="dxa" w:w="70"/>
              <w:left w:type="dxa" w:w="120"/>
              <w:bottom w:type="dxa" w:w="70"/>
              <w:right w:type="dxa" w:w="120"/>
            </w:tcMar>
          </w:tcPr>
          <w:p>
            <w:r>
              <w:rPr>
                <w:sz w:val="19"/>
                <w:szCs w:val="19"/>
              </w:rPr>
              <w:t xml:space="preserve">Viktad</w:t>
            </w:r>
          </w:p>
        </w:tc>
        <w:tc>
          <w:tcPr>
            <w:tcW w:type="dxa" w:w="3300"/>
            <w:shd w:fill="FFFFFF" w:val="clear"/>
            <w:tcMar>
              <w:top w:type="dxa" w:w="70"/>
              <w:left w:type="dxa" w:w="120"/>
              <w:bottom w:type="dxa" w:w="70"/>
              <w:right w:type="dxa" w:w="120"/>
            </w:tcMar>
          </w:tcPr>
          <w:p>
            <w:r>
              <w:rPr>
                <w:sz w:val="19"/>
                <w:szCs w:val="19"/>
              </w:rPr>
              <w:t xml:space="preserve">Mätosäkerheten är proportionell mot koncentrationen (konstant CV)</w:t>
            </w:r>
          </w:p>
        </w:tc>
        <w:tc>
          <w:tcPr>
            <w:tcW w:type="dxa" w:w="3300"/>
            <w:shd w:fill="FFFFFF" w:val="clear"/>
            <w:tcMar>
              <w:top w:type="dxa" w:w="70"/>
              <w:left w:type="dxa" w:w="120"/>
              <w:bottom w:type="dxa" w:w="70"/>
              <w:right w:type="dxa" w:w="120"/>
            </w:tcMar>
          </w:tcPr>
          <w:p>
            <w:r>
              <w:rPr>
                <w:sz w:val="19"/>
                <w:szCs w:val="19"/>
              </w:rPr>
              <w:t xml:space="preserve">Mätområdet spänner över flera tiopotenser — vanligt i klinisk kemi</w:t>
            </w:r>
          </w:p>
        </w:tc>
      </w:tr>
    </w:tbl>
    <w:p>
      <w:pPr>
        <w:spacing w:after="140" w:line="276"/>
      </w:pPr>
      <w:r>
        <w:rPr>
          <w:sz w:val="21"/>
          <w:szCs w:val="21"/>
        </w:rPr>
        <w:t xml:space="preserve">Viktad Deming enligt Linnet (1990) viktar varje punkt med 1/(x² + y²/λ). Vikterna gör att låga värden inte får oproportionerligt stort inflytande.</w:t>
      </w:r>
    </w:p>
    <w:p>
      <w:pPr>
        <w:spacing w:after="120" w:line="276"/>
      </w:pPr>
      <w:r>
        <w:rPr>
          <w:sz w:val="21"/>
          <w:szCs w:val="21"/>
        </w:rPr>
        <w:t xml:space="preserve">Lutning och intercept tolkas på exakt samma sätt som för Passing–Bablok.</w:t>
      </w:r>
    </w:p>
    <w:p>
      <w:r>
        <w:br w:type="page"/>
      </w:r>
    </w:p>
    <w:p>
      <w:pPr>
        <w:pStyle w:val="Heading1"/>
        <w:spacing w:after="160" w:before="320"/>
      </w:pPr>
      <w:r>
        <w:t xml:space="preserve">6. Bland–Altman-diagram</w:t>
      </w:r>
    </w:p>
    <w:p>
      <w:pPr>
        <w:spacing w:after="120" w:line="276"/>
      </w:pPr>
      <w:r>
        <w:rPr>
          <w:sz w:val="21"/>
          <w:szCs w:val="21"/>
        </w:rPr>
        <w:t xml:space="preserve">Bland–Altman-diagrammet visas automatiskt bredvid regressionsdiagrammet. Det kompletterar regressionen genom att svara på en annan fråga: hur mycket kan de två metoderna skilja sig åt för ett enskilt prov?</w:t>
      </w:r>
    </w:p>
    <w:p>
      <w:pPr>
        <w:spacing w:after="140"/>
      </w:pPr>
    </w:p>
    <w:p>
      <w:pPr>
        <w:pStyle w:val="Heading2"/>
        <w:spacing w:after="120" w:before="240"/>
      </w:pPr>
      <w:r>
        <w:t xml:space="preserve">6.1 Så läser du diagrammet</w:t>
      </w:r>
    </w:p>
    <w:p>
      <w:pPr>
        <w:pStyle w:val="ListParagraph"/>
        <w:numPr>
          <w:ilvl w:val="0"/>
          <w:numId w:val="2"/>
        </w:numPr>
        <w:spacing w:after="60" w:line="276"/>
      </w:pPr>
      <w:r>
        <w:rPr>
          <w:sz w:val="21"/>
          <w:szCs w:val="21"/>
        </w:rPr>
        <w:t xml:space="preserve">X-axeln visar medelvärdet av de två metodernas resultat, det vill säga bästa skattningen av det sanna värdet.</w:t>
      </w:r>
    </w:p>
    <w:p>
      <w:pPr>
        <w:pStyle w:val="ListParagraph"/>
        <w:numPr>
          <w:ilvl w:val="0"/>
          <w:numId w:val="2"/>
        </w:numPr>
        <w:spacing w:after="60" w:line="276"/>
      </w:pPr>
      <w:r>
        <w:rPr>
          <w:sz w:val="21"/>
          <w:szCs w:val="21"/>
        </w:rPr>
        <w:t xml:space="preserve">Y-axeln visar skillnaden mellan metoderna.</w:t>
      </w:r>
    </w:p>
    <w:p>
      <w:pPr>
        <w:pStyle w:val="ListParagraph"/>
        <w:numPr>
          <w:ilvl w:val="0"/>
          <w:numId w:val="2"/>
        </w:numPr>
        <w:spacing w:after="60" w:line="276"/>
      </w:pPr>
      <w:r>
        <w:rPr>
          <w:sz w:val="21"/>
          <w:szCs w:val="21"/>
        </w:rPr>
        <w:t xml:space="preserve">Den heldragna linjen är systematiskt fel (bias), alltså medelskillnaden.</w:t>
      </w:r>
    </w:p>
    <w:p>
      <w:pPr>
        <w:pStyle w:val="ListParagraph"/>
        <w:numPr>
          <w:ilvl w:val="0"/>
          <w:numId w:val="2"/>
        </w:numPr>
        <w:spacing w:after="60" w:line="276"/>
      </w:pPr>
      <w:r>
        <w:rPr>
          <w:sz w:val="21"/>
          <w:szCs w:val="21"/>
        </w:rPr>
        <w:t xml:space="preserve">De streckade linjerna är överensstämmelsegränserna, bias ± 1,96 SD. Cirka 95 % av alla skillnader förväntas ligga inom dessa.</w:t>
      </w:r>
    </w:p>
    <w:p>
      <w:pPr>
        <w:spacing w:after="140"/>
      </w:pPr>
    </w:p>
    <w:p>
      <w:pPr>
        <w:pStyle w:val="Heading2"/>
        <w:spacing w:after="120" w:before="240"/>
      </w:pPr>
      <w:r>
        <w:t xml:space="preserve">6.2 Absolut eller procentuell skillnad</w:t>
      </w:r>
    </w:p>
    <w:p>
      <w:pPr>
        <w:spacing w:after="120" w:line="276"/>
      </w:pPr>
      <w:r>
        <w:rPr>
          <w:sz w:val="21"/>
          <w:szCs w:val="21"/>
        </w:rPr>
        <w:t xml:space="preserve">I menyn kan du välja att visa skillnaden i procent av medelvärdet i stället för i absoluta enheter. Procentuell skillnad är att föredra när mätosäkerheten är proportionell mot koncentrationen, eftersom spridningen då blir jämn över hela mätområdet.</w:t>
      </w:r>
    </w:p>
    <w:p>
      <w:pPr>
        <w:spacing w:after="140"/>
      </w:pPr>
    </w:p>
    <w:p>
      <w:pPr>
        <w:pStyle w:val="Heading2"/>
        <w:spacing w:after="120" w:before="240"/>
      </w:pPr>
      <w:r>
        <w:t xml:space="preserve">6.3 Vad man bör titta efter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E40AF" w:val="clear"/>
            <w:tcMar>
              <w:top w:type="dxa" w:w="80"/>
              <w:left w:type="dxa" w:w="120"/>
              <w:bottom w:type="dxa" w:w="80"/>
              <w:right w:type="dxa" w:w="120"/>
            </w:tcMar>
          </w:tcPr>
          <w:p>
            <w:r>
              <w:rPr>
                <w:b/>
                <w:bCs/>
                <w:color w:val="FFFFFF"/>
                <w:sz w:val="19"/>
                <w:szCs w:val="19"/>
              </w:rPr>
              <w:t xml:space="preserve">Mönster i diagrammet</w:t>
            </w:r>
          </w:p>
        </w:tc>
        <w:tc>
          <w:tcPr>
            <w:tcW w:type="dxa" w:w="4500"/>
            <w:shd w:fill="1E40AF" w:val="clear"/>
            <w:tcMar>
              <w:top w:type="dxa" w:w="80"/>
              <w:left w:type="dxa" w:w="120"/>
              <w:bottom w:type="dxa" w:w="80"/>
              <w:right w:type="dxa" w:w="120"/>
            </w:tcMar>
          </w:tcPr>
          <w:p>
            <w:r>
              <w:rPr>
                <w:b/>
                <w:bCs/>
                <w:color w:val="FFFFFF"/>
                <w:sz w:val="19"/>
                <w:szCs w:val="19"/>
              </w:rPr>
              <w:t xml:space="preserve">Tolkning</w:t>
            </w:r>
          </w:p>
        </w:tc>
      </w:tr>
      <w:tr>
        <w:tc>
          <w:tcPr>
            <w:tcW w:type="dxa" w:w="4500"/>
            <w:shd w:fill="F8FAFC" w:val="clear"/>
            <w:tcMar>
              <w:top w:type="dxa" w:w="70"/>
              <w:left w:type="dxa" w:w="120"/>
              <w:bottom w:type="dxa" w:w="70"/>
              <w:right w:type="dxa" w:w="120"/>
            </w:tcMar>
          </w:tcPr>
          <w:p>
            <w:r>
              <w:rPr>
                <w:sz w:val="19"/>
                <w:szCs w:val="19"/>
              </w:rPr>
              <w:t xml:space="preserve">Punkterna ligger jämnt fördelade runt noll</w:t>
            </w:r>
          </w:p>
        </w:tc>
        <w:tc>
          <w:tcPr>
            <w:tcW w:type="dxa" w:w="4500"/>
            <w:shd w:fill="F8FAFC" w:val="clear"/>
            <w:tcMar>
              <w:top w:type="dxa" w:w="70"/>
              <w:left w:type="dxa" w:w="120"/>
              <w:bottom w:type="dxa" w:w="70"/>
              <w:right w:type="dxa" w:w="120"/>
            </w:tcMar>
          </w:tcPr>
          <w:p>
            <w:r>
              <w:rPr>
                <w:sz w:val="19"/>
                <w:szCs w:val="19"/>
              </w:rPr>
              <w:t xml:space="preserve">Inget systematiskt fel</w:t>
            </w:r>
          </w:p>
        </w:tc>
      </w:tr>
      <w:tr>
        <w:tc>
          <w:tcPr>
            <w:tcW w:type="dxa" w:w="4500"/>
            <w:shd w:fill="FFFFFF" w:val="clear"/>
            <w:tcMar>
              <w:top w:type="dxa" w:w="70"/>
              <w:left w:type="dxa" w:w="120"/>
              <w:bottom w:type="dxa" w:w="70"/>
              <w:right w:type="dxa" w:w="120"/>
            </w:tcMar>
          </w:tcPr>
          <w:p>
            <w:r>
              <w:rPr>
                <w:sz w:val="19"/>
                <w:szCs w:val="19"/>
              </w:rPr>
              <w:t xml:space="preserve">Hela punktmolnet ligger förskjutet från noll</w:t>
            </w:r>
          </w:p>
        </w:tc>
        <w:tc>
          <w:tcPr>
            <w:tcW w:type="dxa" w:w="4500"/>
            <w:shd w:fill="FFFFFF" w:val="clear"/>
            <w:tcMar>
              <w:top w:type="dxa" w:w="70"/>
              <w:left w:type="dxa" w:w="120"/>
              <w:bottom w:type="dxa" w:w="70"/>
              <w:right w:type="dxa" w:w="120"/>
            </w:tcMar>
          </w:tcPr>
          <w:p>
            <w:r>
              <w:rPr>
                <w:sz w:val="19"/>
                <w:szCs w:val="19"/>
              </w:rPr>
              <w:t xml:space="preserve">Konstant systematiskt fel</w:t>
            </w:r>
          </w:p>
        </w:tc>
      </w:tr>
      <w:tr>
        <w:tc>
          <w:tcPr>
            <w:tcW w:type="dxa" w:w="4500"/>
            <w:shd w:fill="F8FAFC" w:val="clear"/>
            <w:tcMar>
              <w:top w:type="dxa" w:w="70"/>
              <w:left w:type="dxa" w:w="120"/>
              <w:bottom w:type="dxa" w:w="70"/>
              <w:right w:type="dxa" w:w="120"/>
            </w:tcMar>
          </w:tcPr>
          <w:p>
            <w:r>
              <w:rPr>
                <w:sz w:val="19"/>
                <w:szCs w:val="19"/>
              </w:rPr>
              <w:t xml:space="preserve">Spridningen ökar mot höger</w:t>
            </w:r>
          </w:p>
        </w:tc>
        <w:tc>
          <w:tcPr>
            <w:tcW w:type="dxa" w:w="4500"/>
            <w:shd w:fill="F8FAFC" w:val="clear"/>
            <w:tcMar>
              <w:top w:type="dxa" w:w="70"/>
              <w:left w:type="dxa" w:w="120"/>
              <w:bottom w:type="dxa" w:w="70"/>
              <w:right w:type="dxa" w:w="120"/>
            </w:tcMar>
          </w:tcPr>
          <w:p>
            <w:r>
              <w:rPr>
                <w:sz w:val="19"/>
                <w:szCs w:val="19"/>
              </w:rPr>
              <w:t xml:space="preserve">Proportionell mätosäkerhet — överväg procentuell skillnad</w:t>
            </w:r>
          </w:p>
        </w:tc>
      </w:tr>
      <w:tr>
        <w:tc>
          <w:tcPr>
            <w:tcW w:type="dxa" w:w="4500"/>
            <w:shd w:fill="FFFFFF" w:val="clear"/>
            <w:tcMar>
              <w:top w:type="dxa" w:w="70"/>
              <w:left w:type="dxa" w:w="120"/>
              <w:bottom w:type="dxa" w:w="70"/>
              <w:right w:type="dxa" w:w="120"/>
            </w:tcMar>
          </w:tcPr>
          <w:p>
            <w:r>
              <w:rPr>
                <w:sz w:val="19"/>
                <w:szCs w:val="19"/>
              </w:rPr>
              <w:t xml:space="preserve">Punkterna lutar uppåt eller nedåt</w:t>
            </w:r>
          </w:p>
        </w:tc>
        <w:tc>
          <w:tcPr>
            <w:tcW w:type="dxa" w:w="4500"/>
            <w:shd w:fill="FFFFFF" w:val="clear"/>
            <w:tcMar>
              <w:top w:type="dxa" w:w="70"/>
              <w:left w:type="dxa" w:w="120"/>
              <w:bottom w:type="dxa" w:w="70"/>
              <w:right w:type="dxa" w:w="120"/>
            </w:tcMar>
          </w:tcPr>
          <w:p>
            <w:r>
              <w:rPr>
                <w:sz w:val="19"/>
                <w:szCs w:val="19"/>
              </w:rPr>
              <w:t xml:space="preserve">Proportionellt fel — skillnaden beror på koncentrationen</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1F5F9" w:val="clear"/>
            <w:tcMar>
              <w:top w:type="dxa" w:w="140"/>
              <w:left w:type="dxa" w:w="180"/>
              <w:bottom w:type="dxa" w:w="140"/>
              <w:right w:type="dxa" w:w="180"/>
            </w:tcMar>
          </w:tcPr>
          <w:p>
            <w:pPr>
              <w:spacing w:after="80"/>
            </w:pPr>
            <w:r>
              <w:rPr>
                <w:b/>
                <w:bCs/>
                <w:color w:val="1E40AF"/>
                <w:sz w:val="21"/>
                <w:szCs w:val="21"/>
              </w:rPr>
              <w:t xml:space="preserve">Bedömning av överensstämmelsegränserna</w:t>
            </w:r>
          </w:p>
          <w:p>
            <w:pPr>
              <w:spacing w:after="50"/>
            </w:pPr>
            <w:r>
              <w:rPr>
                <w:sz w:val="20"/>
                <w:szCs w:val="20"/>
              </w:rPr>
              <w:t xml:space="preserve">Statistiken avgör inte om metoderna är utbytbara. Det gör den kliniska frågeställningen.</w:t>
            </w:r>
          </w:p>
          <w:p>
            <w:pPr>
              <w:spacing w:after="50"/>
            </w:pPr>
            <w:r>
              <w:rPr>
                <w:sz w:val="20"/>
                <w:szCs w:val="20"/>
              </w:rPr>
              <w:t xml:space="preserve">Jämför överensstämmelsegränserna med den största skillnad som är kliniskt acceptabel för analyten, exempelvis utifrån biologisk variation eller beslutsgränser.</w:t>
            </w:r>
          </w:p>
        </w:tc>
      </w:tr>
    </w:tbl>
    <w:p>
      <w:r>
        <w:br w:type="page"/>
      </w:r>
    </w:p>
    <w:p>
      <w:pPr>
        <w:pStyle w:val="Heading1"/>
        <w:spacing w:after="160" w:before="320"/>
      </w:pPr>
      <w:r>
        <w:t xml:space="preserve">7. Konfusionsmatris för zondiametrar</w:t>
      </w:r>
    </w:p>
    <w:p>
      <w:pPr>
        <w:spacing w:after="120" w:line="276"/>
      </w:pPr>
      <w:r>
        <w:rPr>
          <w:sz w:val="21"/>
          <w:szCs w:val="21"/>
        </w:rPr>
        <w:t xml:space="preserve">Konfusionsmatrisen används inom klinisk mikrobiologi för att jämföra två sätt att avläsa zondiametrar vid diskdiffusion, exempelvis manuell linjal mot automatisk avläsare.</w:t>
      </w:r>
    </w:p>
    <w:p>
      <w:pPr>
        <w:spacing w:after="140"/>
      </w:pPr>
    </w:p>
    <w:p>
      <w:pPr>
        <w:pStyle w:val="Heading2"/>
        <w:spacing w:after="120" w:before="240"/>
      </w:pPr>
      <w:r>
        <w:t xml:space="preserve">7.1 Så läser du matrisen</w:t>
      </w:r>
    </w:p>
    <w:p>
      <w:pPr>
        <w:spacing w:after="120" w:line="276"/>
      </w:pPr>
      <w:r>
        <w:rPr>
          <w:sz w:val="21"/>
          <w:szCs w:val="21"/>
        </w:rPr>
        <w:t xml:space="preserve">Varje ruta motsvarar en kombination av referensmetodens millimetervärde (vågrät axel) och den nya metodens värde (lodrät axel). Siffran i rutan är antalet isolat med just den kombinationen.</w:t>
      </w:r>
    </w:p>
    <w:p>
      <w:pPr>
        <w:spacing w:after="120" w:line="276"/>
      </w:pPr>
      <w:r>
        <w:rPr>
          <w:sz w:val="21"/>
          <w:szCs w:val="21"/>
        </w:rPr>
        <w:t xml:space="preserve">Färgen anger avståndet från diagonalen, inte antalet isolat:</w:t>
      </w:r>
    </w:p>
    <w:p>
      <w:pPr>
        <w:pStyle w:val="ListParagraph"/>
        <w:numPr>
          <w:ilvl w:val="0"/>
          <w:numId w:val="2"/>
        </w:numPr>
        <w:spacing w:after="60" w:line="276"/>
      </w:pPr>
      <w:r>
        <w:rPr>
          <w:sz w:val="21"/>
          <w:szCs w:val="21"/>
        </w:rPr>
        <w:t xml:space="preserve">Mörkast färg — exakt samma millimetervärde med båda metoderna</w:t>
      </w:r>
    </w:p>
    <w:p>
      <w:pPr>
        <w:pStyle w:val="ListParagraph"/>
        <w:numPr>
          <w:ilvl w:val="0"/>
          <w:numId w:val="2"/>
        </w:numPr>
        <w:spacing w:after="60" w:line="276"/>
      </w:pPr>
      <w:r>
        <w:rPr>
          <w:sz w:val="21"/>
          <w:szCs w:val="21"/>
        </w:rPr>
        <w:t xml:space="preserve">Mellanmörk — 1 mm skillnad</w:t>
      </w:r>
    </w:p>
    <w:p>
      <w:pPr>
        <w:pStyle w:val="ListParagraph"/>
        <w:numPr>
          <w:ilvl w:val="0"/>
          <w:numId w:val="2"/>
        </w:numPr>
        <w:spacing w:after="60" w:line="276"/>
      </w:pPr>
      <w:r>
        <w:rPr>
          <w:sz w:val="21"/>
          <w:szCs w:val="21"/>
        </w:rPr>
        <w:t xml:space="preserve">Ljus — 2 mm skillnad</w:t>
      </w:r>
    </w:p>
    <w:p>
      <w:pPr>
        <w:pStyle w:val="ListParagraph"/>
        <w:numPr>
          <w:ilvl w:val="0"/>
          <w:numId w:val="2"/>
        </w:numPr>
        <w:spacing w:after="60" w:line="276"/>
      </w:pPr>
      <w:r>
        <w:rPr>
          <w:sz w:val="21"/>
          <w:szCs w:val="21"/>
        </w:rPr>
        <w:t xml:space="preserve">Vit — utanför det valda färgbandet</w:t>
      </w:r>
    </w:p>
    <w:p>
      <w:pPr>
        <w:spacing w:after="140" w:line="276"/>
      </w:pPr>
      <w:r>
        <w:rPr>
          <w:sz w:val="21"/>
          <w:szCs w:val="21"/>
        </w:rPr>
        <w:t xml:space="preserve">Totala antalet isolat visas som n utanför diagramramen.</w:t>
      </w:r>
    </w:p>
    <w:p>
      <w:pPr>
        <w:spacing w:after="140"/>
      </w:pPr>
    </w:p>
    <w:p>
      <w:pPr>
        <w:pStyle w:val="Heading2"/>
        <w:spacing w:after="120" w:before="240"/>
      </w:pPr>
      <w:r>
        <w:t xml:space="preserve">7.2 Brytpunkter</w:t>
      </w:r>
    </w:p>
    <w:p>
      <w:pPr>
        <w:spacing w:after="120" w:line="276"/>
      </w:pPr>
      <w:r>
        <w:rPr>
          <w:sz w:val="21"/>
          <w:szCs w:val="21"/>
        </w:rPr>
        <w:t xml:space="preserve">Under ④ Brytpunkter anger du S- och R-gränserna för varje metod. Programmet klassificerar därefter varje isolat som S, I eller R och beräknar kategoriöverensstämmelse och feltyper. Både EUCAST och CLSI kan väljas.</w:t>
      </w:r>
    </w:p>
    <w:p>
      <w:pPr>
        <w:spacing w:after="140"/>
      </w:pPr>
    </w:p>
    <w:p>
      <w:pPr>
        <w:pStyle w:val="Heading2"/>
        <w:spacing w:after="120" w:before="240"/>
      </w:pPr>
      <w:r>
        <w:t xml:space="preserve">7.3 Måtten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tblHeader/>
        </w:trPr>
        <w:tc>
          <w:tcPr>
            <w:tcW w:type="dxa" w:w="2400"/>
            <w:shd w:fill="1E40AF" w:val="clear"/>
            <w:tcMar>
              <w:top w:type="dxa" w:w="80"/>
              <w:left w:type="dxa" w:w="120"/>
              <w:bottom w:type="dxa" w:w="80"/>
              <w:right w:type="dxa" w:w="120"/>
            </w:tcMar>
          </w:tcPr>
          <w:p>
            <w:r>
              <w:rPr>
                <w:b/>
                <w:bCs/>
                <w:color w:val="FFFFFF"/>
                <w:sz w:val="19"/>
                <w:szCs w:val="19"/>
              </w:rPr>
              <w:t xml:space="preserve">Mått</w:t>
            </w:r>
          </w:p>
        </w:tc>
        <w:tc>
          <w:tcPr>
            <w:tcW w:type="dxa" w:w="4200"/>
            <w:shd w:fill="1E40AF" w:val="clear"/>
            <w:tcMar>
              <w:top w:type="dxa" w:w="80"/>
              <w:left w:type="dxa" w:w="120"/>
              <w:bottom w:type="dxa" w:w="80"/>
              <w:right w:type="dxa" w:w="120"/>
            </w:tcMar>
          </w:tcPr>
          <w:p>
            <w:r>
              <w:rPr>
                <w:b/>
                <w:bCs/>
                <w:color w:val="FFFFFF"/>
                <w:sz w:val="19"/>
                <w:szCs w:val="19"/>
              </w:rPr>
              <w:t xml:space="preserve">Definition</w:t>
            </w:r>
          </w:p>
        </w:tc>
        <w:tc>
          <w:tcPr>
            <w:tcW w:type="dxa" w:w="2400"/>
            <w:shd w:fill="1E40AF" w:val="clear"/>
            <w:tcMar>
              <w:top w:type="dxa" w:w="80"/>
              <w:left w:type="dxa" w:w="120"/>
              <w:bottom w:type="dxa" w:w="80"/>
              <w:right w:type="dxa" w:w="120"/>
            </w:tcMar>
          </w:tcPr>
          <w:p>
            <w:r>
              <w:rPr>
                <w:b/>
                <w:bCs/>
                <w:color w:val="FFFFFF"/>
                <w:sz w:val="19"/>
                <w:szCs w:val="19"/>
              </w:rPr>
              <w:t xml:space="preserve">Nämnare</w:t>
            </w:r>
          </w:p>
        </w:tc>
      </w:tr>
      <w:tr>
        <w:tc>
          <w:tcPr>
            <w:tcW w:type="dxa" w:w="2400"/>
            <w:shd w:fill="F8FAFC" w:val="clear"/>
            <w:tcMar>
              <w:top w:type="dxa" w:w="70"/>
              <w:left w:type="dxa" w:w="120"/>
              <w:bottom w:type="dxa" w:w="70"/>
              <w:right w:type="dxa" w:w="120"/>
            </w:tcMar>
          </w:tcPr>
          <w:p>
            <w:r>
              <w:rPr>
                <w:sz w:val="19"/>
                <w:szCs w:val="19"/>
              </w:rPr>
              <w:t xml:space="preserve">Essential agreement ±1 mm</w:t>
            </w:r>
          </w:p>
        </w:tc>
        <w:tc>
          <w:tcPr>
            <w:tcW w:type="dxa" w:w="4200"/>
            <w:shd w:fill="F8FAFC" w:val="clear"/>
            <w:tcMar>
              <w:top w:type="dxa" w:w="70"/>
              <w:left w:type="dxa" w:w="120"/>
              <w:bottom w:type="dxa" w:w="70"/>
              <w:right w:type="dxa" w:w="120"/>
            </w:tcMar>
          </w:tcPr>
          <w:p>
            <w:r>
              <w:rPr>
                <w:sz w:val="19"/>
                <w:szCs w:val="19"/>
              </w:rPr>
              <w:t xml:space="preserve">Andel isolat där metoderna skiljer högst 1 mm</w:t>
            </w:r>
          </w:p>
        </w:tc>
        <w:tc>
          <w:tcPr>
            <w:tcW w:type="dxa" w:w="2400"/>
            <w:shd w:fill="F8FAFC" w:val="clear"/>
            <w:tcMar>
              <w:top w:type="dxa" w:w="70"/>
              <w:left w:type="dxa" w:w="120"/>
              <w:bottom w:type="dxa" w:w="70"/>
              <w:right w:type="dxa" w:w="120"/>
            </w:tcMar>
          </w:tcPr>
          <w:p>
            <w:r>
              <w:rPr>
                <w:sz w:val="19"/>
                <w:szCs w:val="19"/>
              </w:rPr>
              <w:t xml:space="preserve">Alla isolat</w:t>
            </w:r>
          </w:p>
        </w:tc>
      </w:tr>
      <w:tr>
        <w:tc>
          <w:tcPr>
            <w:tcW w:type="dxa" w:w="2400"/>
            <w:shd w:fill="FFFFFF" w:val="clear"/>
            <w:tcMar>
              <w:top w:type="dxa" w:w="70"/>
              <w:left w:type="dxa" w:w="120"/>
              <w:bottom w:type="dxa" w:w="70"/>
              <w:right w:type="dxa" w:w="120"/>
            </w:tcMar>
          </w:tcPr>
          <w:p>
            <w:r>
              <w:rPr>
                <w:sz w:val="19"/>
                <w:szCs w:val="19"/>
              </w:rPr>
              <w:t xml:space="preserve">Essential agreement ±2 mm</w:t>
            </w:r>
          </w:p>
        </w:tc>
        <w:tc>
          <w:tcPr>
            <w:tcW w:type="dxa" w:w="4200"/>
            <w:shd w:fill="FFFFFF" w:val="clear"/>
            <w:tcMar>
              <w:top w:type="dxa" w:w="70"/>
              <w:left w:type="dxa" w:w="120"/>
              <w:bottom w:type="dxa" w:w="70"/>
              <w:right w:type="dxa" w:w="120"/>
            </w:tcMar>
          </w:tcPr>
          <w:p>
            <w:r>
              <w:rPr>
                <w:sz w:val="19"/>
                <w:szCs w:val="19"/>
              </w:rPr>
              <w:t xml:space="preserve">Andel isolat där metoderna skiljer högst 2 mm</w:t>
            </w:r>
          </w:p>
        </w:tc>
        <w:tc>
          <w:tcPr>
            <w:tcW w:type="dxa" w:w="2400"/>
            <w:shd w:fill="FFFFFF" w:val="clear"/>
            <w:tcMar>
              <w:top w:type="dxa" w:w="70"/>
              <w:left w:type="dxa" w:w="120"/>
              <w:bottom w:type="dxa" w:w="70"/>
              <w:right w:type="dxa" w:w="120"/>
            </w:tcMar>
          </w:tcPr>
          <w:p>
            <w:r>
              <w:rPr>
                <w:sz w:val="19"/>
                <w:szCs w:val="19"/>
              </w:rPr>
              <w:t xml:space="preserve">Alla isolat</w:t>
            </w:r>
          </w:p>
        </w:tc>
      </w:tr>
      <w:tr>
        <w:tc>
          <w:tcPr>
            <w:tcW w:type="dxa" w:w="2400"/>
            <w:shd w:fill="F8FAFC" w:val="clear"/>
            <w:tcMar>
              <w:top w:type="dxa" w:w="70"/>
              <w:left w:type="dxa" w:w="120"/>
              <w:bottom w:type="dxa" w:w="70"/>
              <w:right w:type="dxa" w:w="120"/>
            </w:tcMar>
          </w:tcPr>
          <w:p>
            <w:r>
              <w:rPr>
                <w:sz w:val="19"/>
                <w:szCs w:val="19"/>
              </w:rPr>
              <w:t xml:space="preserve">Kategoriöverensstämmelse (CA)</w:t>
            </w:r>
          </w:p>
        </w:tc>
        <w:tc>
          <w:tcPr>
            <w:tcW w:type="dxa" w:w="4200"/>
            <w:shd w:fill="F8FAFC" w:val="clear"/>
            <w:tcMar>
              <w:top w:type="dxa" w:w="70"/>
              <w:left w:type="dxa" w:w="120"/>
              <w:bottom w:type="dxa" w:w="70"/>
              <w:right w:type="dxa" w:w="120"/>
            </w:tcMar>
          </w:tcPr>
          <w:p>
            <w:r>
              <w:rPr>
                <w:sz w:val="19"/>
                <w:szCs w:val="19"/>
              </w:rPr>
              <w:t xml:space="preserve">Andel isolat som får samma SIR-kategori med båda metoderna</w:t>
            </w:r>
          </w:p>
        </w:tc>
        <w:tc>
          <w:tcPr>
            <w:tcW w:type="dxa" w:w="2400"/>
            <w:shd w:fill="F8FAFC" w:val="clear"/>
            <w:tcMar>
              <w:top w:type="dxa" w:w="70"/>
              <w:left w:type="dxa" w:w="120"/>
              <w:bottom w:type="dxa" w:w="70"/>
              <w:right w:type="dxa" w:w="120"/>
            </w:tcMar>
          </w:tcPr>
          <w:p>
            <w:r>
              <w:rPr>
                <w:sz w:val="19"/>
                <w:szCs w:val="19"/>
              </w:rPr>
              <w:t xml:space="preserve">Alla isolat</w:t>
            </w:r>
          </w:p>
        </w:tc>
      </w:tr>
      <w:tr>
        <w:tc>
          <w:tcPr>
            <w:tcW w:type="dxa" w:w="2400"/>
            <w:shd w:fill="FFFFFF" w:val="clear"/>
            <w:tcMar>
              <w:top w:type="dxa" w:w="70"/>
              <w:left w:type="dxa" w:w="120"/>
              <w:bottom w:type="dxa" w:w="70"/>
              <w:right w:type="dxa" w:w="120"/>
            </w:tcMar>
          </w:tcPr>
          <w:p>
            <w:r>
              <w:rPr>
                <w:sz w:val="19"/>
                <w:szCs w:val="19"/>
              </w:rPr>
              <w:t xml:space="preserve">Mycket allvarligt fel (VME)</w:t>
            </w:r>
          </w:p>
        </w:tc>
        <w:tc>
          <w:tcPr>
            <w:tcW w:type="dxa" w:w="4200"/>
            <w:shd w:fill="FFFFFF" w:val="clear"/>
            <w:tcMar>
              <w:top w:type="dxa" w:w="70"/>
              <w:left w:type="dxa" w:w="120"/>
              <w:bottom w:type="dxa" w:w="70"/>
              <w:right w:type="dxa" w:w="120"/>
            </w:tcMar>
          </w:tcPr>
          <w:p>
            <w:r>
              <w:rPr>
                <w:sz w:val="19"/>
                <w:szCs w:val="19"/>
              </w:rPr>
              <w:t xml:space="preserve">Falsk känslighet. Referensmetoden anger R, nya metoden anger S.</w:t>
            </w:r>
          </w:p>
        </w:tc>
        <w:tc>
          <w:tcPr>
            <w:tcW w:type="dxa" w:w="2400"/>
            <w:shd w:fill="FFFFFF" w:val="clear"/>
            <w:tcMar>
              <w:top w:type="dxa" w:w="70"/>
              <w:left w:type="dxa" w:w="120"/>
              <w:bottom w:type="dxa" w:w="70"/>
              <w:right w:type="dxa" w:w="120"/>
            </w:tcMar>
          </w:tcPr>
          <w:p>
            <w:r>
              <w:rPr>
                <w:sz w:val="19"/>
                <w:szCs w:val="19"/>
              </w:rPr>
              <w:t xml:space="preserve">Antal R-isolat</w:t>
            </w:r>
          </w:p>
        </w:tc>
      </w:tr>
      <w:tr>
        <w:tc>
          <w:tcPr>
            <w:tcW w:type="dxa" w:w="2400"/>
            <w:shd w:fill="F8FAFC" w:val="clear"/>
            <w:tcMar>
              <w:top w:type="dxa" w:w="70"/>
              <w:left w:type="dxa" w:w="120"/>
              <w:bottom w:type="dxa" w:w="70"/>
              <w:right w:type="dxa" w:w="120"/>
            </w:tcMar>
          </w:tcPr>
          <w:p>
            <w:r>
              <w:rPr>
                <w:sz w:val="19"/>
                <w:szCs w:val="19"/>
              </w:rPr>
              <w:t xml:space="preserve">Allvarligt fel (ME)</w:t>
            </w:r>
          </w:p>
        </w:tc>
        <w:tc>
          <w:tcPr>
            <w:tcW w:type="dxa" w:w="4200"/>
            <w:shd w:fill="F8FAFC" w:val="clear"/>
            <w:tcMar>
              <w:top w:type="dxa" w:w="70"/>
              <w:left w:type="dxa" w:w="120"/>
              <w:bottom w:type="dxa" w:w="70"/>
              <w:right w:type="dxa" w:w="120"/>
            </w:tcMar>
          </w:tcPr>
          <w:p>
            <w:r>
              <w:rPr>
                <w:sz w:val="19"/>
                <w:szCs w:val="19"/>
              </w:rPr>
              <w:t xml:space="preserve">Falsk resistens. Referensmetoden anger S, nya metoden anger R.</w:t>
            </w:r>
          </w:p>
        </w:tc>
        <w:tc>
          <w:tcPr>
            <w:tcW w:type="dxa" w:w="2400"/>
            <w:shd w:fill="F8FAFC" w:val="clear"/>
            <w:tcMar>
              <w:top w:type="dxa" w:w="70"/>
              <w:left w:type="dxa" w:w="120"/>
              <w:bottom w:type="dxa" w:w="70"/>
              <w:right w:type="dxa" w:w="120"/>
            </w:tcMar>
          </w:tcPr>
          <w:p>
            <w:r>
              <w:rPr>
                <w:sz w:val="19"/>
                <w:szCs w:val="19"/>
              </w:rPr>
              <w:t xml:space="preserve">Antal S-isolat</w:t>
            </w:r>
          </w:p>
        </w:tc>
      </w:tr>
      <w:tr>
        <w:tc>
          <w:tcPr>
            <w:tcW w:type="dxa" w:w="2400"/>
            <w:shd w:fill="FFFFFF" w:val="clear"/>
            <w:tcMar>
              <w:top w:type="dxa" w:w="70"/>
              <w:left w:type="dxa" w:w="120"/>
              <w:bottom w:type="dxa" w:w="70"/>
              <w:right w:type="dxa" w:w="120"/>
            </w:tcMar>
          </w:tcPr>
          <w:p>
            <w:r>
              <w:rPr>
                <w:sz w:val="19"/>
                <w:szCs w:val="19"/>
              </w:rPr>
              <w:t xml:space="preserve">Mindre fel (mE)</w:t>
            </w:r>
          </w:p>
        </w:tc>
        <w:tc>
          <w:tcPr>
            <w:tcW w:type="dxa" w:w="4200"/>
            <w:shd w:fill="FFFFFF" w:val="clear"/>
            <w:tcMar>
              <w:top w:type="dxa" w:w="70"/>
              <w:left w:type="dxa" w:w="120"/>
              <w:bottom w:type="dxa" w:w="70"/>
              <w:right w:type="dxa" w:w="120"/>
            </w:tcMar>
          </w:tcPr>
          <w:p>
            <w:r>
              <w:rPr>
                <w:sz w:val="19"/>
                <w:szCs w:val="19"/>
              </w:rPr>
              <w:t xml:space="preserve">Övriga avvikelser, det vill säga sådana som berör kategorin I</w:t>
            </w:r>
          </w:p>
        </w:tc>
        <w:tc>
          <w:tcPr>
            <w:tcW w:type="dxa" w:w="2400"/>
            <w:shd w:fill="FFFFFF" w:val="clear"/>
            <w:tcMar>
              <w:top w:type="dxa" w:w="70"/>
              <w:left w:type="dxa" w:w="120"/>
              <w:bottom w:type="dxa" w:w="70"/>
              <w:right w:type="dxa" w:w="120"/>
            </w:tcMar>
          </w:tcPr>
          <w:p>
            <w:r>
              <w:rPr>
                <w:sz w:val="19"/>
                <w:szCs w:val="19"/>
              </w:rPr>
              <w:t xml:space="preserve">Alla isolat</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EE2E2" w:val="clear"/>
            <w:tcMar>
              <w:top w:type="dxa" w:w="140"/>
              <w:left w:type="dxa" w:w="180"/>
              <w:bottom w:type="dxa" w:w="140"/>
              <w:right w:type="dxa" w:w="180"/>
            </w:tcMar>
          </w:tcPr>
          <w:p>
            <w:pPr>
              <w:spacing w:after="80"/>
            </w:pPr>
            <w:r>
              <w:rPr>
                <w:b/>
                <w:bCs/>
                <w:color w:val="1E40AF"/>
                <w:sz w:val="21"/>
                <w:szCs w:val="21"/>
              </w:rPr>
              <w:t xml:space="preserve">Varför VME är det allvarligaste felet</w:t>
            </w:r>
          </w:p>
          <w:p>
            <w:pPr>
              <w:spacing w:after="50"/>
            </w:pPr>
            <w:r>
              <w:rPr>
                <w:sz w:val="20"/>
                <w:szCs w:val="20"/>
              </w:rPr>
              <w:t xml:space="preserve">Vid mycket allvarligt fel rapporteras ett resistent isolat som känsligt. Patienten kan då få ett antibiotikum som inte har effekt.</w:t>
            </w:r>
          </w:p>
          <w:p>
            <w:pPr>
              <w:spacing w:after="50"/>
            </w:pPr>
            <w:r>
              <w:rPr>
                <w:sz w:val="20"/>
                <w:szCs w:val="20"/>
              </w:rPr>
              <w:t xml:space="preserve">Vid allvarligt fel rapporteras ett känsligt isolat som resistent. Det leder till onödigt bredspektrumval, men är kliniskt mindre farligt.</w:t>
            </w:r>
          </w:p>
          <w:p>
            <w:pPr>
              <w:spacing w:after="50"/>
            </w:pPr>
            <w:r>
              <w:rPr>
                <w:sz w:val="20"/>
                <w:szCs w:val="20"/>
              </w:rPr>
              <w:t xml:space="preserve">Därför är gränsvärdet för VME strängare än för ME.</w:t>
            </w:r>
          </w:p>
        </w:tc>
      </w:tr>
    </w:tbl>
    <w:p>
      <w:pPr>
        <w:spacing w:after="140"/>
      </w:pPr>
    </w:p>
    <w:p>
      <w:pPr>
        <w:pStyle w:val="Heading2"/>
        <w:spacing w:after="120" w:before="240"/>
      </w:pPr>
      <w:r>
        <w:t xml:space="preserve">7.4 Acceptanskriterier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shd w:fill="1E40AF" w:val="clear"/>
            <w:tcMar>
              <w:top w:type="dxa" w:w="80"/>
              <w:left w:type="dxa" w:w="120"/>
              <w:bottom w:type="dxa" w:w="80"/>
              <w:right w:type="dxa" w:w="120"/>
            </w:tcMar>
          </w:tcPr>
          <w:p>
            <w:r>
              <w:rPr>
                <w:b/>
                <w:bCs/>
                <w:color w:val="FFFFFF"/>
                <w:sz w:val="19"/>
                <w:szCs w:val="19"/>
              </w:rPr>
              <w:t xml:space="preserve">Mått</w:t>
            </w:r>
          </w:p>
        </w:tc>
        <w:tc>
          <w:tcPr>
            <w:tcW w:type="dxa" w:w="2700"/>
            <w:shd w:fill="1E40AF" w:val="clear"/>
            <w:tcMar>
              <w:top w:type="dxa" w:w="80"/>
              <w:left w:type="dxa" w:w="120"/>
              <w:bottom w:type="dxa" w:w="80"/>
              <w:right w:type="dxa" w:w="120"/>
            </w:tcMar>
          </w:tcPr>
          <w:p>
            <w:r>
              <w:rPr>
                <w:b/>
                <w:bCs/>
                <w:color w:val="FFFFFF"/>
                <w:sz w:val="19"/>
                <w:szCs w:val="19"/>
              </w:rPr>
              <w:t xml:space="preserve">EUCAST</w:t>
            </w:r>
          </w:p>
        </w:tc>
        <w:tc>
          <w:tcPr>
            <w:tcW w:type="dxa" w:w="2700"/>
            <w:shd w:fill="1E40AF" w:val="clear"/>
            <w:tcMar>
              <w:top w:type="dxa" w:w="80"/>
              <w:left w:type="dxa" w:w="120"/>
              <w:bottom w:type="dxa" w:w="80"/>
              <w:right w:type="dxa" w:w="120"/>
            </w:tcMar>
          </w:tcPr>
          <w:p>
            <w:r>
              <w:rPr>
                <w:b/>
                <w:bCs/>
                <w:color w:val="FFFFFF"/>
                <w:sz w:val="19"/>
                <w:szCs w:val="19"/>
              </w:rPr>
              <w:t xml:space="preserve">CLSI</w:t>
            </w:r>
          </w:p>
        </w:tc>
      </w:tr>
      <w:tr>
        <w:tc>
          <w:tcPr>
            <w:tcW w:type="dxa" w:w="3600"/>
            <w:shd w:fill="F8FAFC" w:val="clear"/>
            <w:tcMar>
              <w:top w:type="dxa" w:w="70"/>
              <w:left w:type="dxa" w:w="120"/>
              <w:bottom w:type="dxa" w:w="70"/>
              <w:right w:type="dxa" w:w="120"/>
            </w:tcMar>
          </w:tcPr>
          <w:p>
            <w:r>
              <w:rPr>
                <w:sz w:val="19"/>
                <w:szCs w:val="19"/>
              </w:rPr>
              <w:t xml:space="preserve">Essential agreement ±2 mm</w:t>
            </w:r>
          </w:p>
        </w:tc>
        <w:tc>
          <w:tcPr>
            <w:tcW w:type="dxa" w:w="2700"/>
            <w:shd w:fill="F8FAFC" w:val="clear"/>
            <w:tcMar>
              <w:top w:type="dxa" w:w="70"/>
              <w:left w:type="dxa" w:w="120"/>
              <w:bottom w:type="dxa" w:w="70"/>
              <w:right w:type="dxa" w:w="120"/>
            </w:tcMar>
          </w:tcPr>
          <w:p>
            <w:r>
              <w:rPr>
                <w:sz w:val="19"/>
                <w:szCs w:val="19"/>
              </w:rPr>
              <w:t xml:space="preserve">≥ 90 %</w:t>
            </w:r>
          </w:p>
        </w:tc>
        <w:tc>
          <w:tcPr>
            <w:tcW w:type="dxa" w:w="2700"/>
            <w:shd w:fill="F8FAFC" w:val="clear"/>
            <w:tcMar>
              <w:top w:type="dxa" w:w="70"/>
              <w:left w:type="dxa" w:w="120"/>
              <w:bottom w:type="dxa" w:w="70"/>
              <w:right w:type="dxa" w:w="120"/>
            </w:tcMar>
          </w:tcPr>
          <w:p>
            <w:r>
              <w:rPr>
                <w:sz w:val="19"/>
                <w:szCs w:val="19"/>
              </w:rPr>
              <w:t xml:space="preserve">≥ 90 %</w:t>
            </w:r>
          </w:p>
        </w:tc>
      </w:tr>
      <w:tr>
        <w:tc>
          <w:tcPr>
            <w:tcW w:type="dxa" w:w="3600"/>
            <w:shd w:fill="FFFFFF" w:val="clear"/>
            <w:tcMar>
              <w:top w:type="dxa" w:w="70"/>
              <w:left w:type="dxa" w:w="120"/>
              <w:bottom w:type="dxa" w:w="70"/>
              <w:right w:type="dxa" w:w="120"/>
            </w:tcMar>
          </w:tcPr>
          <w:p>
            <w:r>
              <w:rPr>
                <w:sz w:val="19"/>
                <w:szCs w:val="19"/>
              </w:rPr>
              <w:t xml:space="preserve">Kategoriöverensstämmelse</w:t>
            </w:r>
          </w:p>
        </w:tc>
        <w:tc>
          <w:tcPr>
            <w:tcW w:type="dxa" w:w="2700"/>
            <w:shd w:fill="FFFFFF" w:val="clear"/>
            <w:tcMar>
              <w:top w:type="dxa" w:w="70"/>
              <w:left w:type="dxa" w:w="120"/>
              <w:bottom w:type="dxa" w:w="70"/>
              <w:right w:type="dxa" w:w="120"/>
            </w:tcMar>
          </w:tcPr>
          <w:p>
            <w:r>
              <w:rPr>
                <w:sz w:val="19"/>
                <w:szCs w:val="19"/>
              </w:rPr>
              <w:t xml:space="preserve">≥ 90 %</w:t>
            </w:r>
          </w:p>
        </w:tc>
        <w:tc>
          <w:tcPr>
            <w:tcW w:type="dxa" w:w="2700"/>
            <w:shd w:fill="FFFFFF" w:val="clear"/>
            <w:tcMar>
              <w:top w:type="dxa" w:w="70"/>
              <w:left w:type="dxa" w:w="120"/>
              <w:bottom w:type="dxa" w:w="70"/>
              <w:right w:type="dxa" w:w="120"/>
            </w:tcMar>
          </w:tcPr>
          <w:p>
            <w:r>
              <w:rPr>
                <w:sz w:val="19"/>
                <w:szCs w:val="19"/>
              </w:rPr>
              <w:t xml:space="preserve">≥ 90 %</w:t>
            </w:r>
          </w:p>
        </w:tc>
      </w:tr>
      <w:tr>
        <w:tc>
          <w:tcPr>
            <w:tcW w:type="dxa" w:w="3600"/>
            <w:shd w:fill="F8FAFC" w:val="clear"/>
            <w:tcMar>
              <w:top w:type="dxa" w:w="70"/>
              <w:left w:type="dxa" w:w="120"/>
              <w:bottom w:type="dxa" w:w="70"/>
              <w:right w:type="dxa" w:w="120"/>
            </w:tcMar>
          </w:tcPr>
          <w:p>
            <w:r>
              <w:rPr>
                <w:sz w:val="19"/>
                <w:szCs w:val="19"/>
              </w:rPr>
              <w:t xml:space="preserve">Mycket allvarligt fel (VME)</w:t>
            </w:r>
          </w:p>
        </w:tc>
        <w:tc>
          <w:tcPr>
            <w:tcW w:type="dxa" w:w="2700"/>
            <w:shd w:fill="F8FAFC" w:val="clear"/>
            <w:tcMar>
              <w:top w:type="dxa" w:w="70"/>
              <w:left w:type="dxa" w:w="120"/>
              <w:bottom w:type="dxa" w:w="70"/>
              <w:right w:type="dxa" w:w="120"/>
            </w:tcMar>
          </w:tcPr>
          <w:p>
            <w:r>
              <w:rPr>
                <w:sz w:val="19"/>
                <w:szCs w:val="19"/>
              </w:rPr>
              <w:t xml:space="preserve">≤ 3 % av R-isolaten</w:t>
            </w:r>
          </w:p>
        </w:tc>
        <w:tc>
          <w:tcPr>
            <w:tcW w:type="dxa" w:w="2700"/>
            <w:shd w:fill="F8FAFC" w:val="clear"/>
            <w:tcMar>
              <w:top w:type="dxa" w:w="70"/>
              <w:left w:type="dxa" w:w="120"/>
              <w:bottom w:type="dxa" w:w="70"/>
              <w:right w:type="dxa" w:w="120"/>
            </w:tcMar>
          </w:tcPr>
          <w:p>
            <w:r>
              <w:rPr>
                <w:sz w:val="19"/>
                <w:szCs w:val="19"/>
              </w:rPr>
              <w:t xml:space="preserve">≤ 1,5 % av R-isolaten</w:t>
            </w:r>
          </w:p>
        </w:tc>
      </w:tr>
      <w:tr>
        <w:tc>
          <w:tcPr>
            <w:tcW w:type="dxa" w:w="3600"/>
            <w:shd w:fill="FFFFFF" w:val="clear"/>
            <w:tcMar>
              <w:top w:type="dxa" w:w="70"/>
              <w:left w:type="dxa" w:w="120"/>
              <w:bottom w:type="dxa" w:w="70"/>
              <w:right w:type="dxa" w:w="120"/>
            </w:tcMar>
          </w:tcPr>
          <w:p>
            <w:r>
              <w:rPr>
                <w:sz w:val="19"/>
                <w:szCs w:val="19"/>
              </w:rPr>
              <w:t xml:space="preserve">Allvarligt fel (ME)</w:t>
            </w:r>
          </w:p>
        </w:tc>
        <w:tc>
          <w:tcPr>
            <w:tcW w:type="dxa" w:w="2700"/>
            <w:shd w:fill="FFFFFF" w:val="clear"/>
            <w:tcMar>
              <w:top w:type="dxa" w:w="70"/>
              <w:left w:type="dxa" w:w="120"/>
              <w:bottom w:type="dxa" w:w="70"/>
              <w:right w:type="dxa" w:w="120"/>
            </w:tcMar>
          </w:tcPr>
          <w:p>
            <w:r>
              <w:rPr>
                <w:sz w:val="19"/>
                <w:szCs w:val="19"/>
              </w:rPr>
              <w:t xml:space="preserve">≤ 3 % av S-isolaten</w:t>
            </w:r>
          </w:p>
        </w:tc>
        <w:tc>
          <w:tcPr>
            <w:tcW w:type="dxa" w:w="2700"/>
            <w:shd w:fill="FFFFFF" w:val="clear"/>
            <w:tcMar>
              <w:top w:type="dxa" w:w="70"/>
              <w:left w:type="dxa" w:w="120"/>
              <w:bottom w:type="dxa" w:w="70"/>
              <w:right w:type="dxa" w:w="120"/>
            </w:tcMar>
          </w:tcPr>
          <w:p>
            <w:r>
              <w:rPr>
                <w:sz w:val="19"/>
                <w:szCs w:val="19"/>
              </w:rPr>
              <w:t xml:space="preserve">≤ 3 % av S-isolaten</w:t>
            </w:r>
          </w:p>
        </w:tc>
      </w:tr>
    </w:tbl>
    <w:p>
      <w:r>
        <w:br w:type="page"/>
      </w:r>
    </w:p>
    <w:p>
      <w:pPr>
        <w:pStyle w:val="Heading1"/>
        <w:spacing w:after="160" w:before="320"/>
      </w:pPr>
      <w:r>
        <w:t xml:space="preserve">8. Precisionsvärdering enligt CLSI EP15-A3</w:t>
      </w:r>
    </w:p>
    <w:p>
      <w:pPr>
        <w:spacing w:after="120" w:line="276"/>
      </w:pPr>
      <w:r>
        <w:rPr>
          <w:sz w:val="21"/>
          <w:szCs w:val="21"/>
        </w:rPr>
        <w:t xml:space="preserve">Precisionsvärdering används för att verifiera att en metod uppfyller tillverkarens angivna imprecision, eller för att fastställa laboratoriets egen imprecision. Analysen skiljer på två komponenter.</w:t>
      </w:r>
    </w:p>
    <w:p>
      <w:pPr>
        <w:spacing w:after="140"/>
      </w:pPr>
    </w:p>
    <w:p>
      <w:pPr>
        <w:pStyle w:val="Heading2"/>
        <w:spacing w:after="120" w:before="240"/>
      </w:pPr>
      <w:r>
        <w:t xml:space="preserve">8.1 De två precisionsmåtten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tblHeader/>
        </w:trPr>
        <w:tc>
          <w:tcPr>
            <w:tcW w:type="dxa" w:w="2400"/>
            <w:shd w:fill="1E40AF" w:val="clear"/>
            <w:tcMar>
              <w:top w:type="dxa" w:w="80"/>
              <w:left w:type="dxa" w:w="120"/>
              <w:bottom w:type="dxa" w:w="80"/>
              <w:right w:type="dxa" w:w="120"/>
            </w:tcMar>
          </w:tcPr>
          <w:p>
            <w:r>
              <w:rPr>
                <w:b/>
                <w:bCs/>
                <w:color w:val="FFFFFF"/>
                <w:sz w:val="19"/>
                <w:szCs w:val="19"/>
              </w:rPr>
              <w:t xml:space="preserve">Mått</w:t>
            </w:r>
          </w:p>
        </w:tc>
        <w:tc>
          <w:tcPr>
            <w:tcW w:type="dxa" w:w="4200"/>
            <w:shd w:fill="1E40AF" w:val="clear"/>
            <w:tcMar>
              <w:top w:type="dxa" w:w="80"/>
              <w:left w:type="dxa" w:w="120"/>
              <w:bottom w:type="dxa" w:w="80"/>
              <w:right w:type="dxa" w:w="120"/>
            </w:tcMar>
          </w:tcPr>
          <w:p>
            <w:r>
              <w:rPr>
                <w:b/>
                <w:bCs/>
                <w:color w:val="FFFFFF"/>
                <w:sz w:val="19"/>
                <w:szCs w:val="19"/>
              </w:rPr>
              <w:t xml:space="preserve">Vad det mäter</w:t>
            </w:r>
          </w:p>
        </w:tc>
        <w:tc>
          <w:tcPr>
            <w:tcW w:type="dxa" w:w="2400"/>
            <w:shd w:fill="1E40AF" w:val="clear"/>
            <w:tcMar>
              <w:top w:type="dxa" w:w="80"/>
              <w:left w:type="dxa" w:w="120"/>
              <w:bottom w:type="dxa" w:w="80"/>
              <w:right w:type="dxa" w:w="120"/>
            </w:tcMar>
          </w:tcPr>
          <w:p>
            <w:r>
              <w:rPr>
                <w:b/>
                <w:bCs/>
                <w:color w:val="FFFFFF"/>
                <w:sz w:val="19"/>
                <w:szCs w:val="19"/>
              </w:rPr>
              <w:t xml:space="preserve">Engelsk term</w:t>
            </w:r>
          </w:p>
        </w:tc>
      </w:tr>
      <w:tr>
        <w:tc>
          <w:tcPr>
            <w:tcW w:type="dxa" w:w="2400"/>
            <w:shd w:fill="F8FAFC" w:val="clear"/>
            <w:tcMar>
              <w:top w:type="dxa" w:w="70"/>
              <w:left w:type="dxa" w:w="120"/>
              <w:bottom w:type="dxa" w:w="70"/>
              <w:right w:type="dxa" w:w="120"/>
            </w:tcMar>
          </w:tcPr>
          <w:p>
            <w:r>
              <w:rPr>
                <w:sz w:val="19"/>
                <w:szCs w:val="19"/>
              </w:rPr>
              <w:t xml:space="preserve">Repeterbarhet (Sr)</w:t>
            </w:r>
          </w:p>
        </w:tc>
        <w:tc>
          <w:tcPr>
            <w:tcW w:type="dxa" w:w="4200"/>
            <w:shd w:fill="F8FAFC" w:val="clear"/>
            <w:tcMar>
              <w:top w:type="dxa" w:w="70"/>
              <w:left w:type="dxa" w:w="120"/>
              <w:bottom w:type="dxa" w:w="70"/>
              <w:right w:type="dxa" w:w="120"/>
            </w:tcMar>
          </w:tcPr>
          <w:p>
            <w:r>
              <w:rPr>
                <w:sz w:val="19"/>
                <w:szCs w:val="19"/>
              </w:rPr>
              <w:t xml:space="preserve">Variationen mellan replikat analyserade i samma serie, samma dag, av samma person</w:t>
            </w:r>
          </w:p>
        </w:tc>
        <w:tc>
          <w:tcPr>
            <w:tcW w:type="dxa" w:w="2400"/>
            <w:shd w:fill="F8FAFC" w:val="clear"/>
            <w:tcMar>
              <w:top w:type="dxa" w:w="70"/>
              <w:left w:type="dxa" w:w="120"/>
              <w:bottom w:type="dxa" w:w="70"/>
              <w:right w:type="dxa" w:w="120"/>
            </w:tcMar>
          </w:tcPr>
          <w:p>
            <w:r>
              <w:rPr>
                <w:sz w:val="19"/>
                <w:szCs w:val="19"/>
              </w:rPr>
              <w:t xml:space="preserve">Within-run precision, repeatability</w:t>
            </w:r>
          </w:p>
        </w:tc>
      </w:tr>
      <w:tr>
        <w:tc>
          <w:tcPr>
            <w:tcW w:type="dxa" w:w="2400"/>
            <w:shd w:fill="FFFFFF" w:val="clear"/>
            <w:tcMar>
              <w:top w:type="dxa" w:w="70"/>
              <w:left w:type="dxa" w:w="120"/>
              <w:bottom w:type="dxa" w:w="70"/>
              <w:right w:type="dxa" w:w="120"/>
            </w:tcMar>
          </w:tcPr>
          <w:p>
            <w:r>
              <w:rPr>
                <w:sz w:val="19"/>
                <w:szCs w:val="19"/>
              </w:rPr>
              <w:t xml:space="preserve">Total imprecision (Sl)</w:t>
            </w:r>
          </w:p>
        </w:tc>
        <w:tc>
          <w:tcPr>
            <w:tcW w:type="dxa" w:w="4200"/>
            <w:shd w:fill="FFFFFF" w:val="clear"/>
            <w:tcMar>
              <w:top w:type="dxa" w:w="70"/>
              <w:left w:type="dxa" w:w="120"/>
              <w:bottom w:type="dxa" w:w="70"/>
              <w:right w:type="dxa" w:w="120"/>
            </w:tcMar>
          </w:tcPr>
          <w:p>
            <w:r>
              <w:rPr>
                <w:sz w:val="19"/>
                <w:szCs w:val="19"/>
              </w:rPr>
              <w:t xml:space="preserve">All variation inom laboratoriet, inklusive variationen mellan dagar. Alltid större än eller lika med repeterbarheten.</w:t>
            </w:r>
          </w:p>
        </w:tc>
        <w:tc>
          <w:tcPr>
            <w:tcW w:type="dxa" w:w="2400"/>
            <w:shd w:fill="FFFFFF" w:val="clear"/>
            <w:tcMar>
              <w:top w:type="dxa" w:w="70"/>
              <w:left w:type="dxa" w:w="120"/>
              <w:bottom w:type="dxa" w:w="70"/>
              <w:right w:type="dxa" w:w="120"/>
            </w:tcMar>
          </w:tcPr>
          <w:p>
            <w:r>
              <w:rPr>
                <w:sz w:val="19"/>
                <w:szCs w:val="19"/>
              </w:rPr>
              <w:t xml:space="preserve">Within-laboratory precision</w:t>
            </w:r>
          </w:p>
        </w:tc>
      </w:tr>
    </w:tbl>
    <w:p>
      <w:pPr>
        <w:spacing w:after="140" w:line="276"/>
      </w:pPr>
      <w:r>
        <w:rPr>
          <w:sz w:val="21"/>
          <w:szCs w:val="21"/>
        </w:rPr>
        <w:t xml:space="preserve">Båda redovisas som standardavvikelse (SD) och variationskoefficient (CV %). CV är oftast det som rapporteras eftersom det är oberoende av koncentrationsnivå.</w:t>
      </w:r>
    </w:p>
    <w:p>
      <w:pPr>
        <w:spacing w:after="140"/>
      </w:pPr>
    </w:p>
    <w:p>
      <w:pPr>
        <w:pStyle w:val="Heading2"/>
        <w:spacing w:after="120" w:before="240"/>
      </w:pPr>
      <w:r>
        <w:t xml:space="preserve">8.2 Försöksuppläggning</w:t>
      </w:r>
    </w:p>
    <w:p>
      <w:pPr>
        <w:spacing w:after="120" w:line="276"/>
      </w:pPr>
      <w:r>
        <w:rPr>
          <w:sz w:val="21"/>
          <w:szCs w:val="21"/>
        </w:rPr>
        <w:t xml:space="preserve">CLSI EP15-A3 rekommenderar 5 replikat per dag under 5 dagar, på minst två koncentrationsnivåer. Programmet klarar minst 2 replikat under minst 2 dagar, men färre mätningar ger mer osäkra skattningar.</w:t>
      </w:r>
    </w:p>
    <w:p>
      <w:pPr>
        <w:spacing w:after="140"/>
      </w:pPr>
    </w:p>
    <w:p>
      <w:pPr>
        <w:pStyle w:val="Heading2"/>
        <w:spacing w:after="120" w:before="240"/>
      </w:pPr>
      <w:r>
        <w:t xml:space="preserve">8.3 Verifiering mot tillverkarens påstående</w:t>
      </w:r>
    </w:p>
    <w:p>
      <w:pPr>
        <w:spacing w:after="120" w:line="276"/>
      </w:pPr>
      <w:r>
        <w:rPr>
          <w:sz w:val="21"/>
          <w:szCs w:val="21"/>
        </w:rPr>
        <w:t xml:space="preserve">Om du fyller i tillverkarens angivna SD-värden utför programmet ett chi-tvåtest och beräknar ett verifieringsvärde. Metoden är godkänd om den uppmätta standardavvikelsen är lika med eller lägre än verifieringsvärdet.</w:t>
      </w:r>
    </w:p>
    <w:p>
      <w:pPr>
        <w:spacing w:after="140" w:line="276"/>
      </w:pPr>
      <w:r>
        <w:rPr>
          <w:sz w:val="21"/>
          <w:szCs w:val="21"/>
        </w:rPr>
        <w:t xml:space="preserve">Verifieringsvärdet är alltid något högre än tillverkarens påstående. Det beror på att ett begränsat antal mätningar ger en osäker skattning, och testet tar hänsyn till denna osäkerhet.</w:t>
      </w:r>
    </w:p>
    <w:p>
      <w:pPr>
        <w:spacing w:after="140"/>
      </w:pPr>
    </w:p>
    <w:p>
      <w:pPr>
        <w:pStyle w:val="Heading2"/>
        <w:spacing w:after="120" w:before="240"/>
      </w:pPr>
      <w:r>
        <w:t xml:space="preserve">8.4 När de två CV-värdena blir identiska</w:t>
      </w:r>
    </w:p>
    <w:p>
      <w:pPr>
        <w:spacing w:after="120" w:line="276"/>
      </w:pPr>
      <w:r>
        <w:rPr>
          <w:sz w:val="21"/>
          <w:szCs w:val="21"/>
        </w:rPr>
        <w:t xml:space="preserve">Ibland visar programmet exakt samma CV för repeterbarhet och total imprecision. Detta är korrekt och inget fel.</w:t>
      </w:r>
    </w:p>
    <w:p>
      <w:pPr>
        <w:spacing w:after="140" w:line="276"/>
      </w:pPr>
      <w:r>
        <w:rPr>
          <w:sz w:val="21"/>
          <w:szCs w:val="21"/>
        </w:rPr>
        <w:t xml:space="preserve">Förklaringen är att variationen mellan dagarnas medelvärden kan bli mindre än vad slumpen inom serien i sig ger upphov till. Variansbidraget mellan dagar skattas då till ett negativt tal, vilket enligt EP15-A3 sätts till noll. Den totala imprecisionen blir då lika med repeterbarheten.</w:t>
      </w:r>
    </w:p>
    <w:p>
      <w:pPr>
        <w:spacing w:after="140" w:line="276"/>
      </w:pPr>
      <w:r>
        <w:rPr>
          <w:sz w:val="21"/>
          <w:szCs w:val="21"/>
        </w:rPr>
        <w:t xml:space="preserve">I praktiken betyder det att ingen mätbar dag-till-dag-variation kunnat påvisas. Kontrollera att dagindelningen är korrekt — om mätningar från olika dagar av misstag grupperats ihop försvinner dageffekten.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EF3C7" w:val="clear"/>
            <w:tcMar>
              <w:top w:type="dxa" w:w="140"/>
              <w:left w:type="dxa" w:w="180"/>
              <w:bottom w:type="dxa" w:w="140"/>
              <w:right w:type="dxa" w:w="180"/>
            </w:tcMar>
          </w:tcPr>
          <w:p>
            <w:pPr>
              <w:spacing w:after="80"/>
            </w:pPr>
            <w:r>
              <w:rPr>
                <w:b/>
                <w:bCs/>
                <w:color w:val="1E40AF"/>
                <w:sz w:val="21"/>
                <w:szCs w:val="21"/>
              </w:rPr>
              <w:t xml:space="preserve">Kontrollera alltid dagindelningen</w:t>
            </w:r>
          </w:p>
          <w:p>
            <w:pPr>
              <w:spacing w:after="50"/>
            </w:pPr>
            <w:r>
              <w:rPr>
                <w:sz w:val="20"/>
                <w:szCs w:val="20"/>
              </w:rPr>
              <w:t xml:space="preserve">Använd alternativet Gruppera efter datumkolumn när filen innehåller ett datum.</w:t>
            </w:r>
          </w:p>
          <w:p>
            <w:pPr>
              <w:spacing w:after="50"/>
            </w:pPr>
            <w:r>
              <w:rPr>
                <w:sz w:val="20"/>
                <w:szCs w:val="20"/>
              </w:rPr>
              <w:t xml:space="preserve">Delar du i stället upp efter ett fast antal per dag måste antalet stämma exakt med hur många replikat som verkligen kördes per dag.</w:t>
            </w:r>
          </w:p>
          <w:p>
            <w:pPr>
              <w:spacing w:after="50"/>
            </w:pPr>
            <w:r>
              <w:rPr>
                <w:sz w:val="20"/>
                <w:szCs w:val="20"/>
              </w:rPr>
              <w:t xml:space="preserve">Antalet replikat per dag kan skilja sig mellan olika analyter i samma fil.</w:t>
            </w:r>
          </w:p>
        </w:tc>
      </w:tr>
    </w:tbl>
    <w:p>
      <w:pPr>
        <w:spacing w:after="140"/>
      </w:pPr>
    </w:p>
    <w:p>
      <w:pPr>
        <w:pStyle w:val="Heading2"/>
        <w:spacing w:after="120" w:before="240"/>
      </w:pPr>
      <w:r>
        <w:t xml:space="preserve">8.5 Enkel sammanslagen beräkning</w:t>
      </w:r>
    </w:p>
    <w:p>
      <w:pPr>
        <w:spacing w:after="120" w:line="276"/>
      </w:pPr>
      <w:r>
        <w:rPr>
          <w:sz w:val="21"/>
          <w:szCs w:val="21"/>
        </w:rPr>
        <w:t xml:space="preserve">Under de två CLSI-måtten visar programmet ett tredje värde: en enkel sammanslagen beräkning där alla mätningar behandlas som ett enda material. Standardavvikelsen beräknas då på vanligt sätt över samtliga resultat, utan hänsyn till vilken dag varje mätning gjordes.</w:t>
      </w:r>
    </w:p>
    <w:p>
      <w:pPr>
        <w:spacing w:after="140" w:line="276"/>
      </w:pPr>
      <w:r>
        <w:rPr>
          <w:sz w:val="21"/>
          <w:szCs w:val="21"/>
        </w:rPr>
        <w:t xml:space="preserve">Denna metod är erkänd och beskrivs i litteraturen som den förenklade ansatsen, till skillnad från den detaljerade ansatsen som bygger på variansanalys (ANOVA). Den förenklade metoden förutsätter att alla dagar innehåller lika många replikat.</w:t>
      </w:r>
    </w:p>
    <w:p>
      <w:pPr>
        <w:spacing w:after="140"/>
      </w:pPr>
    </w:p>
    <w:p>
      <w:pPr>
        <w:pStyle w:val="Heading3"/>
        <w:spacing w:after="100" w:before="180"/>
      </w:pPr>
      <w:r>
        <w:t xml:space="preserve">Varför skiljer sig värdena åt?</w:t>
      </w:r>
    </w:p>
    <w:p>
      <w:pPr>
        <w:spacing w:after="120" w:line="276"/>
      </w:pPr>
      <w:r>
        <w:rPr>
          <w:sz w:val="21"/>
          <w:szCs w:val="21"/>
        </w:rPr>
        <w:t xml:space="preserve">De två beräkningssätten mäter inte riktigt samma sak. Sambandet mellan dem är exakt känt:</w:t>
      </w:r>
    </w:p>
    <w:p>
      <w:pPr>
        <w:spacing w:after="140" w:before="100"/>
        <w:jc w:val="center"/>
      </w:pPr>
      <w:r>
        <w:rPr>
          <w:rFonts w:ascii="Consolas" w:cs="Consolas" w:eastAsia="Consolas" w:hAnsi="Consolas"/>
          <w:b/>
          <w:bCs/>
          <w:sz w:val="20"/>
          <w:szCs w:val="20"/>
        </w:rPr>
        <w:t xml:space="preserve">s²(sammanslagen)  =  Sr²  +  [ (D−1)·n / (D·n−1) ]  ×  Sb²</w:t>
      </w:r>
    </w:p>
    <w:p>
      <w:pPr>
        <w:spacing w:after="120" w:line="276"/>
      </w:pPr>
      <w:r>
        <w:rPr>
          <w:sz w:val="21"/>
          <w:szCs w:val="21"/>
        </w:rPr>
        <w:t xml:space="preserve">Faktorn inom hakparentes är alltid mindre än 1. Det innebär att den sammanslagna beräkningen krymper bidraget från variationen mellan dagar och därmed underskattar den totala imprecisionen när en verklig dageffekt finns.</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E40AF" w:val="clear"/>
            <w:tcMar>
              <w:top w:type="dxa" w:w="80"/>
              <w:left w:type="dxa" w:w="120"/>
              <w:bottom w:type="dxa" w:w="80"/>
              <w:right w:type="dxa" w:w="120"/>
            </w:tcMar>
          </w:tcPr>
          <w:p>
            <w:r>
              <w:rPr>
                <w:b/>
                <w:bCs/>
                <w:color w:val="FFFFFF"/>
                <w:sz w:val="19"/>
                <w:szCs w:val="19"/>
              </w:rPr>
              <w:t xml:space="preserve">Försöksuppläggning</w:t>
            </w:r>
          </w:p>
        </w:tc>
        <w:tc>
          <w:tcPr>
            <w:tcW w:type="dxa" w:w="4500"/>
            <w:shd w:fill="1E40AF" w:val="clear"/>
            <w:tcMar>
              <w:top w:type="dxa" w:w="80"/>
              <w:left w:type="dxa" w:w="120"/>
              <w:bottom w:type="dxa" w:w="80"/>
              <w:right w:type="dxa" w:w="120"/>
            </w:tcMar>
          </w:tcPr>
          <w:p>
            <w:r>
              <w:rPr>
                <w:b/>
                <w:bCs/>
                <w:color w:val="FFFFFF"/>
                <w:sz w:val="19"/>
                <w:szCs w:val="19"/>
              </w:rPr>
              <w:t xml:space="preserve">Andel av dagvariationen som går förlorad</w:t>
            </w:r>
          </w:p>
        </w:tc>
      </w:tr>
      <w:tr>
        <w:tc>
          <w:tcPr>
            <w:tcW w:type="dxa" w:w="4500"/>
            <w:shd w:fill="F8FAFC" w:val="clear"/>
            <w:tcMar>
              <w:top w:type="dxa" w:w="70"/>
              <w:left w:type="dxa" w:w="120"/>
              <w:bottom w:type="dxa" w:w="70"/>
              <w:right w:type="dxa" w:w="120"/>
            </w:tcMar>
          </w:tcPr>
          <w:p>
            <w:r>
              <w:rPr>
                <w:sz w:val="19"/>
                <w:szCs w:val="19"/>
              </w:rPr>
              <w:t xml:space="preserve">5 dagar × 3 replikat</w:t>
            </w:r>
          </w:p>
        </w:tc>
        <w:tc>
          <w:tcPr>
            <w:tcW w:type="dxa" w:w="4500"/>
            <w:shd w:fill="F8FAFC" w:val="clear"/>
            <w:tcMar>
              <w:top w:type="dxa" w:w="70"/>
              <w:left w:type="dxa" w:w="120"/>
              <w:bottom w:type="dxa" w:w="70"/>
              <w:right w:type="dxa" w:w="120"/>
            </w:tcMar>
          </w:tcPr>
          <w:p>
            <w:r>
              <w:rPr>
                <w:sz w:val="19"/>
                <w:szCs w:val="19"/>
              </w:rPr>
              <w:t xml:space="preserve">14 %</w:t>
            </w:r>
          </w:p>
        </w:tc>
      </w:tr>
      <w:tr>
        <w:tc>
          <w:tcPr>
            <w:tcW w:type="dxa" w:w="4500"/>
            <w:shd w:fill="FFFFFF" w:val="clear"/>
            <w:tcMar>
              <w:top w:type="dxa" w:w="70"/>
              <w:left w:type="dxa" w:w="120"/>
              <w:bottom w:type="dxa" w:w="70"/>
              <w:right w:type="dxa" w:w="120"/>
            </w:tcMar>
          </w:tcPr>
          <w:p>
            <w:r>
              <w:rPr>
                <w:sz w:val="19"/>
                <w:szCs w:val="19"/>
              </w:rPr>
              <w:t xml:space="preserve">5 dagar × 5 replikat (EP15-A3)</w:t>
            </w:r>
          </w:p>
        </w:tc>
        <w:tc>
          <w:tcPr>
            <w:tcW w:type="dxa" w:w="4500"/>
            <w:shd w:fill="FFFFFF" w:val="clear"/>
            <w:tcMar>
              <w:top w:type="dxa" w:w="70"/>
              <w:left w:type="dxa" w:w="120"/>
              <w:bottom w:type="dxa" w:w="70"/>
              <w:right w:type="dxa" w:w="120"/>
            </w:tcMar>
          </w:tcPr>
          <w:p>
            <w:r>
              <w:rPr>
                <w:sz w:val="19"/>
                <w:szCs w:val="19"/>
              </w:rPr>
              <w:t xml:space="preserve">17 %</w:t>
            </w:r>
          </w:p>
        </w:tc>
      </w:tr>
      <w:tr>
        <w:tc>
          <w:tcPr>
            <w:tcW w:type="dxa" w:w="4500"/>
            <w:shd w:fill="F8FAFC" w:val="clear"/>
            <w:tcMar>
              <w:top w:type="dxa" w:w="70"/>
              <w:left w:type="dxa" w:w="120"/>
              <w:bottom w:type="dxa" w:w="70"/>
              <w:right w:type="dxa" w:w="120"/>
            </w:tcMar>
          </w:tcPr>
          <w:p>
            <w:r>
              <w:rPr>
                <w:sz w:val="19"/>
                <w:szCs w:val="19"/>
              </w:rPr>
              <w:t xml:space="preserve">5 dagar × 9 replikat</w:t>
            </w:r>
          </w:p>
        </w:tc>
        <w:tc>
          <w:tcPr>
            <w:tcW w:type="dxa" w:w="4500"/>
            <w:shd w:fill="F8FAFC" w:val="clear"/>
            <w:tcMar>
              <w:top w:type="dxa" w:w="70"/>
              <w:left w:type="dxa" w:w="120"/>
              <w:bottom w:type="dxa" w:w="70"/>
              <w:right w:type="dxa" w:w="120"/>
            </w:tcMar>
          </w:tcPr>
          <w:p>
            <w:r>
              <w:rPr>
                <w:sz w:val="19"/>
                <w:szCs w:val="19"/>
              </w:rPr>
              <w:t xml:space="preserve">18 %</w:t>
            </w:r>
          </w:p>
        </w:tc>
      </w:tr>
      <w:tr>
        <w:tc>
          <w:tcPr>
            <w:tcW w:type="dxa" w:w="4500"/>
            <w:shd w:fill="FFFFFF" w:val="clear"/>
            <w:tcMar>
              <w:top w:type="dxa" w:w="70"/>
              <w:left w:type="dxa" w:w="120"/>
              <w:bottom w:type="dxa" w:w="70"/>
              <w:right w:type="dxa" w:w="120"/>
            </w:tcMar>
          </w:tcPr>
          <w:p>
            <w:r>
              <w:rPr>
                <w:sz w:val="19"/>
                <w:szCs w:val="19"/>
              </w:rPr>
              <w:t xml:space="preserve">20 dagar × 2 replikat</w:t>
            </w:r>
          </w:p>
        </w:tc>
        <w:tc>
          <w:tcPr>
            <w:tcW w:type="dxa" w:w="4500"/>
            <w:shd w:fill="FFFFFF" w:val="clear"/>
            <w:tcMar>
              <w:top w:type="dxa" w:w="70"/>
              <w:left w:type="dxa" w:w="120"/>
              <w:bottom w:type="dxa" w:w="70"/>
              <w:right w:type="dxa" w:w="120"/>
            </w:tcMar>
          </w:tcPr>
          <w:p>
            <w:r>
              <w:rPr>
                <w:sz w:val="19"/>
                <w:szCs w:val="19"/>
              </w:rPr>
              <w:t xml:space="preserve">3 %</w:t>
            </w:r>
          </w:p>
        </w:tc>
      </w:tr>
    </w:tbl>
    <w:p>
      <w:pPr>
        <w:spacing w:after="140" w:line="276"/>
      </w:pPr>
      <w:r>
        <w:rPr>
          <w:sz w:val="21"/>
          <w:szCs w:val="21"/>
        </w:rPr>
        <w:t xml:space="preserve">Förlusten blir mindre ju fler dagar försöket omfattar. Vid det korta femdagarsupplägg som EP15-A3 rekommenderar är skillnaden som störst.</w:t>
      </w:r>
    </w:p>
    <w:p>
      <w:pPr>
        <w:spacing w:after="140"/>
      </w:pPr>
    </w:p>
    <w:p>
      <w:pPr>
        <w:pStyle w:val="Heading3"/>
        <w:spacing w:after="100" w:before="180"/>
      </w:pPr>
      <w:r>
        <w:t xml:space="preserve">Vilket värde ska rapporteras?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E40AF" w:val="clear"/>
            <w:tcMar>
              <w:top w:type="dxa" w:w="80"/>
              <w:left w:type="dxa" w:w="120"/>
              <w:bottom w:type="dxa" w:w="80"/>
              <w:right w:type="dxa" w:w="120"/>
            </w:tcMar>
          </w:tcPr>
          <w:p>
            <w:r>
              <w:rPr>
                <w:b/>
                <w:bCs/>
                <w:color w:val="FFFFFF"/>
                <w:sz w:val="19"/>
                <w:szCs w:val="19"/>
              </w:rPr>
              <w:t xml:space="preserve">Situation</w:t>
            </w:r>
          </w:p>
        </w:tc>
        <w:tc>
          <w:tcPr>
            <w:tcW w:type="dxa" w:w="4500"/>
            <w:shd w:fill="1E40AF" w:val="clear"/>
            <w:tcMar>
              <w:top w:type="dxa" w:w="80"/>
              <w:left w:type="dxa" w:w="120"/>
              <w:bottom w:type="dxa" w:w="80"/>
              <w:right w:type="dxa" w:w="120"/>
            </w:tcMar>
          </w:tcPr>
          <w:p>
            <w:r>
              <w:rPr>
                <w:b/>
                <w:bCs/>
                <w:color w:val="FFFFFF"/>
                <w:sz w:val="19"/>
                <w:szCs w:val="19"/>
              </w:rPr>
              <w:t xml:space="preserve">Rapportera</w:t>
            </w:r>
          </w:p>
        </w:tc>
      </w:tr>
      <w:tr>
        <w:tc>
          <w:tcPr>
            <w:tcW w:type="dxa" w:w="4500"/>
            <w:shd w:fill="F8FAFC" w:val="clear"/>
            <w:tcMar>
              <w:top w:type="dxa" w:w="70"/>
              <w:left w:type="dxa" w:w="120"/>
              <w:bottom w:type="dxa" w:w="70"/>
              <w:right w:type="dxa" w:w="120"/>
            </w:tcMar>
          </w:tcPr>
          <w:p>
            <w:r>
              <w:rPr>
                <w:sz w:val="19"/>
                <w:szCs w:val="19"/>
              </w:rPr>
              <w:t xml:space="preserve">Metodvalidering och verifiering mot tillverkarens påstående</w:t>
            </w:r>
          </w:p>
        </w:tc>
        <w:tc>
          <w:tcPr>
            <w:tcW w:type="dxa" w:w="4500"/>
            <w:shd w:fill="F8FAFC" w:val="clear"/>
            <w:tcMar>
              <w:top w:type="dxa" w:w="70"/>
              <w:left w:type="dxa" w:w="120"/>
              <w:bottom w:type="dxa" w:w="70"/>
              <w:right w:type="dxa" w:w="120"/>
            </w:tcMar>
          </w:tcPr>
          <w:p>
            <w:r>
              <w:rPr>
                <w:sz w:val="19"/>
                <w:szCs w:val="19"/>
              </w:rPr>
              <w:t xml:space="preserve">CLSI-värdet (total imprecision enligt EP15-A3)</w:t>
            </w:r>
          </w:p>
        </w:tc>
      </w:tr>
      <w:tr>
        <w:tc>
          <w:tcPr>
            <w:tcW w:type="dxa" w:w="4500"/>
            <w:shd w:fill="FFFFFF" w:val="clear"/>
            <w:tcMar>
              <w:top w:type="dxa" w:w="70"/>
              <w:left w:type="dxa" w:w="120"/>
              <w:bottom w:type="dxa" w:w="70"/>
              <w:right w:type="dxa" w:w="120"/>
            </w:tcMar>
          </w:tcPr>
          <w:p>
            <w:r>
              <w:rPr>
                <w:sz w:val="19"/>
                <w:szCs w:val="19"/>
              </w:rPr>
              <w:t xml:space="preserve">Jämförelse med en källa som använt den förenklade metoden</w:t>
            </w:r>
          </w:p>
        </w:tc>
        <w:tc>
          <w:tcPr>
            <w:tcW w:type="dxa" w:w="4500"/>
            <w:shd w:fill="FFFFFF" w:val="clear"/>
            <w:tcMar>
              <w:top w:type="dxa" w:w="70"/>
              <w:left w:type="dxa" w:w="120"/>
              <w:bottom w:type="dxa" w:w="70"/>
              <w:right w:type="dxa" w:w="120"/>
            </w:tcMar>
          </w:tcPr>
          <w:p>
            <w:r>
              <w:rPr>
                <w:sz w:val="19"/>
                <w:szCs w:val="19"/>
              </w:rPr>
              <w:t xml:space="preserve">Den sammanslagna beräkningen, tydligt märkt som sådan</w:t>
            </w:r>
          </w:p>
        </w:tc>
      </w:tr>
      <w:tr>
        <w:tc>
          <w:tcPr>
            <w:tcW w:type="dxa" w:w="4500"/>
            <w:shd w:fill="F8FAFC" w:val="clear"/>
            <w:tcMar>
              <w:top w:type="dxa" w:w="70"/>
              <w:left w:type="dxa" w:w="120"/>
              <w:bottom w:type="dxa" w:w="70"/>
              <w:right w:type="dxa" w:w="120"/>
            </w:tcMar>
          </w:tcPr>
          <w:p>
            <w:r>
              <w:rPr>
                <w:sz w:val="19"/>
                <w:szCs w:val="19"/>
              </w:rPr>
              <w:t xml:space="preserve">Osäker på vilket som avses</w:t>
            </w:r>
          </w:p>
        </w:tc>
        <w:tc>
          <w:tcPr>
            <w:tcW w:type="dxa" w:w="4500"/>
            <w:shd w:fill="F8FAFC" w:val="clear"/>
            <w:tcMar>
              <w:top w:type="dxa" w:w="70"/>
              <w:left w:type="dxa" w:w="120"/>
              <w:bottom w:type="dxa" w:w="70"/>
              <w:right w:type="dxa" w:w="120"/>
            </w:tcMar>
          </w:tcPr>
          <w:p>
            <w:r>
              <w:rPr>
                <w:sz w:val="19"/>
                <w:szCs w:val="19"/>
              </w:rPr>
              <w:t xml:space="preserve">CLSI-värdet — det är den etablerade standarden i ackrediterad verksamhet</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1F5F9" w:val="clear"/>
            <w:tcMar>
              <w:top w:type="dxa" w:w="140"/>
              <w:left w:type="dxa" w:w="180"/>
              <w:bottom w:type="dxa" w:w="140"/>
              <w:right w:type="dxa" w:w="180"/>
            </w:tcMar>
          </w:tcPr>
          <w:p>
            <w:pPr>
              <w:spacing w:after="80"/>
            </w:pPr>
            <w:r>
              <w:rPr>
                <w:b/>
                <w:bCs/>
                <w:color w:val="1E40AF"/>
                <w:sz w:val="21"/>
                <w:szCs w:val="21"/>
              </w:rPr>
              <w:t xml:space="preserve">Sammanfattning</w:t>
            </w:r>
          </w:p>
          <w:p>
            <w:pPr>
              <w:spacing w:after="50"/>
            </w:pPr>
            <w:r>
              <w:rPr>
                <w:sz w:val="20"/>
                <w:szCs w:val="20"/>
              </w:rPr>
              <w:t xml:space="preserve">Finns ingen mätbar dageffekt ligger de två värdena mycket nära varandra.</w:t>
            </w:r>
          </w:p>
          <w:p>
            <w:pPr>
              <w:spacing w:after="50"/>
            </w:pPr>
            <w:r>
              <w:rPr>
                <w:sz w:val="20"/>
                <w:szCs w:val="20"/>
              </w:rPr>
              <w:t xml:space="preserve">Finns en verklig dageffekt blir det sammanslagna värdet lägre än CLSI-värdet.</w:t>
            </w:r>
          </w:p>
          <w:p>
            <w:pPr>
              <w:spacing w:after="50"/>
            </w:pPr>
            <w:r>
              <w:rPr>
                <w:sz w:val="20"/>
                <w:szCs w:val="20"/>
              </w:rPr>
              <w:t xml:space="preserve">Det sammanslagna värdet ska aldrig användas för att visa att en metod klarar ett precisionskrav, eftersom det systematiskt underskattar imprecisionen.</w:t>
            </w:r>
          </w:p>
          <w:p>
            <w:pPr>
              <w:spacing w:after="50"/>
            </w:pPr>
            <w:r>
              <w:rPr>
                <w:sz w:val="20"/>
                <w:szCs w:val="20"/>
              </w:rPr>
              <w:t xml:space="preserve">Programmet visar båda värdena så att du kan redovisa rätt siffra för rätt ändamål.</w:t>
            </w:r>
          </w:p>
        </w:tc>
      </w:tr>
    </w:tbl>
    <w:p>
      <w:r>
        <w:br w:type="page"/>
      </w:r>
    </w:p>
    <w:p>
      <w:pPr>
        <w:pStyle w:val="Heading1"/>
        <w:spacing w:after="160" w:before="320"/>
      </w:pPr>
      <w:r>
        <w:t xml:space="preserve">9. Att utesluta enskilda mätpunkter</w:t>
      </w:r>
    </w:p>
    <w:p>
      <w:pPr>
        <w:spacing w:after="120" w:line="276"/>
      </w:pPr>
      <w:r>
        <w:rPr>
          <w:sz w:val="21"/>
          <w:szCs w:val="21"/>
        </w:rPr>
        <w:t xml:space="preserve">I regressionsanalyserna kan du utesluta enskilda punkter direkt i diagrammet. Klicka på en punkt, eller dra en ruta eller lasso runt flera punkter. Punkterna försvinner ur båda diagrammen och samtliga beräkningar uppdateras omedelbart.</w:t>
      </w:r>
    </w:p>
    <w:p>
      <w:pPr>
        <w:spacing w:after="140" w:line="276"/>
      </w:pPr>
      <w:r>
        <w:rPr>
          <w:sz w:val="21"/>
          <w:szCs w:val="21"/>
        </w:rPr>
        <w:t xml:space="preserve">Under diagrammen finns listan Uteslutna punkter där du ser vilka punkter som tagits bort. Där kan du också lägga till eller återställa punkter manuellt, eller återställa alla på en gång.</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EE2E2" w:val="clear"/>
            <w:tcMar>
              <w:top w:type="dxa" w:w="140"/>
              <w:left w:type="dxa" w:w="180"/>
              <w:bottom w:type="dxa" w:w="140"/>
              <w:right w:type="dxa" w:w="180"/>
            </w:tcMar>
          </w:tcPr>
          <w:p>
            <w:pPr>
              <w:spacing w:after="80"/>
            </w:pPr>
            <w:r>
              <w:rPr>
                <w:b/>
                <w:bCs/>
                <w:color w:val="1E40AF"/>
                <w:sz w:val="21"/>
                <w:szCs w:val="21"/>
              </w:rPr>
              <w:t xml:space="preserve">Uteslutning ska motiveras</w:t>
            </w:r>
          </w:p>
          <w:p>
            <w:pPr>
              <w:spacing w:after="50"/>
            </w:pPr>
            <w:r>
              <w:rPr>
                <w:sz w:val="20"/>
                <w:szCs w:val="20"/>
              </w:rPr>
              <w:t xml:space="preserve">En punkt bör uteslutas endast när det finns en dokumenterad orsak, till exempel felaktig provhantering, känd analysstörning eller inmatningsfel.</w:t>
            </w:r>
          </w:p>
          <w:p>
            <w:pPr>
              <w:spacing w:after="50"/>
            </w:pPr>
            <w:r>
              <w:rPr>
                <w:sz w:val="20"/>
                <w:szCs w:val="20"/>
              </w:rPr>
              <w:t xml:space="preserve">Att ta bort punkter enbart för att de ligger långt från linjen är inte vetenskapligt godtagbart och leder till för snäva konfidensintervall.</w:t>
            </w:r>
          </w:p>
          <w:p>
            <w:pPr>
              <w:spacing w:after="50"/>
            </w:pPr>
            <w:r>
              <w:rPr>
                <w:sz w:val="20"/>
                <w:szCs w:val="20"/>
              </w:rPr>
              <w:t xml:space="preserve">Redovisa alltid antalet uteslutna punkter och skälet i valideringsrapporten. Den nedladdade Excel-filen märker varje matchat par som Included eller Excluded.</w:t>
            </w:r>
          </w:p>
        </w:tc>
      </w:tr>
    </w:tbl>
    <w:p>
      <w:r>
        <w:br w:type="page"/>
      </w:r>
    </w:p>
    <w:p>
      <w:pPr>
        <w:pStyle w:val="Heading1"/>
        <w:spacing w:after="160" w:before="320"/>
      </w:pPr>
      <w:r>
        <w:t xml:space="preserve">10. Exportera resultat</w:t>
      </w:r>
    </w:p>
    <w:p>
      <w:pPr>
        <w:pStyle w:val="Heading2"/>
        <w:spacing w:after="120" w:before="240"/>
      </w:pPr>
      <w:r>
        <w:t xml:space="preserve">10.1 Diagram</w:t>
      </w:r>
    </w:p>
    <w:p>
      <w:pPr>
        <w:spacing w:after="120" w:line="276"/>
      </w:pPr>
      <w:r>
        <w:rPr>
          <w:sz w:val="21"/>
          <w:szCs w:val="21"/>
        </w:rPr>
        <w:t xml:space="preserve">Diagram laddas ned som PNG eller SVG. Upplösningen väljs i menyn och bildens storlek beräknas automatiskt så att diagrammet får samma fysiska mått oavsett upplösning.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shd w:fill="1E40AF" w:val="clear"/>
            <w:tcMar>
              <w:top w:type="dxa" w:w="80"/>
              <w:left w:type="dxa" w:w="120"/>
              <w:bottom w:type="dxa" w:w="80"/>
              <w:right w:type="dxa" w:w="120"/>
            </w:tcMar>
          </w:tcPr>
          <w:p>
            <w:r>
              <w:rPr>
                <w:b/>
                <w:bCs/>
                <w:color w:val="FFFFFF"/>
                <w:sz w:val="19"/>
                <w:szCs w:val="19"/>
              </w:rPr>
              <w:t xml:space="preserve">Upplösning</w:t>
            </w:r>
          </w:p>
        </w:tc>
        <w:tc>
          <w:tcPr>
            <w:tcW w:type="dxa" w:w="6300"/>
            <w:shd w:fill="1E40AF" w:val="clear"/>
            <w:tcMar>
              <w:top w:type="dxa" w:w="80"/>
              <w:left w:type="dxa" w:w="120"/>
              <w:bottom w:type="dxa" w:w="80"/>
              <w:right w:type="dxa" w:w="120"/>
            </w:tcMar>
          </w:tcPr>
          <w:p>
            <w:r>
              <w:rPr>
                <w:b/>
                <w:bCs/>
                <w:color w:val="FFFFFF"/>
                <w:sz w:val="19"/>
                <w:szCs w:val="19"/>
              </w:rPr>
              <w:t xml:space="preserve">Användning</w:t>
            </w:r>
          </w:p>
        </w:tc>
      </w:tr>
      <w:tr>
        <w:tc>
          <w:tcPr>
            <w:tcW w:type="dxa" w:w="2700"/>
            <w:shd w:fill="F8FAFC" w:val="clear"/>
            <w:tcMar>
              <w:top w:type="dxa" w:w="70"/>
              <w:left w:type="dxa" w:w="120"/>
              <w:bottom w:type="dxa" w:w="70"/>
              <w:right w:type="dxa" w:w="120"/>
            </w:tcMar>
          </w:tcPr>
          <w:p>
            <w:r>
              <w:rPr>
                <w:sz w:val="19"/>
                <w:szCs w:val="19"/>
              </w:rPr>
              <w:t xml:space="preserve">150 dpi</w:t>
            </w:r>
          </w:p>
        </w:tc>
        <w:tc>
          <w:tcPr>
            <w:tcW w:type="dxa" w:w="6300"/>
            <w:shd w:fill="F8FAFC" w:val="clear"/>
            <w:tcMar>
              <w:top w:type="dxa" w:w="70"/>
              <w:left w:type="dxa" w:w="120"/>
              <w:bottom w:type="dxa" w:w="70"/>
              <w:right w:type="dxa" w:w="120"/>
            </w:tcMar>
          </w:tcPr>
          <w:p>
            <w:r>
              <w:rPr>
                <w:sz w:val="19"/>
                <w:szCs w:val="19"/>
              </w:rPr>
              <w:t xml:space="preserve">Skärmvisning och utkast</w:t>
            </w:r>
          </w:p>
        </w:tc>
      </w:tr>
      <w:tr>
        <w:tc>
          <w:tcPr>
            <w:tcW w:type="dxa" w:w="2700"/>
            <w:shd w:fill="FFFFFF" w:val="clear"/>
            <w:tcMar>
              <w:top w:type="dxa" w:w="70"/>
              <w:left w:type="dxa" w:w="120"/>
              <w:bottom w:type="dxa" w:w="70"/>
              <w:right w:type="dxa" w:w="120"/>
            </w:tcMar>
          </w:tcPr>
          <w:p>
            <w:r>
              <w:rPr>
                <w:sz w:val="19"/>
                <w:szCs w:val="19"/>
              </w:rPr>
              <w:t xml:space="preserve">300 dpi</w:t>
            </w:r>
          </w:p>
        </w:tc>
        <w:tc>
          <w:tcPr>
            <w:tcW w:type="dxa" w:w="6300"/>
            <w:shd w:fill="FFFFFF" w:val="clear"/>
            <w:tcMar>
              <w:top w:type="dxa" w:w="70"/>
              <w:left w:type="dxa" w:w="120"/>
              <w:bottom w:type="dxa" w:w="70"/>
              <w:right w:type="dxa" w:w="120"/>
            </w:tcMar>
          </w:tcPr>
          <w:p>
            <w:r>
              <w:rPr>
                <w:sz w:val="19"/>
                <w:szCs w:val="19"/>
              </w:rPr>
              <w:t xml:space="preserve">Rapporter, PowerPoint och de flesta tidskrifter</w:t>
            </w:r>
          </w:p>
        </w:tc>
      </w:tr>
      <w:tr>
        <w:tc>
          <w:tcPr>
            <w:tcW w:type="dxa" w:w="2700"/>
            <w:shd w:fill="F8FAFC" w:val="clear"/>
            <w:tcMar>
              <w:top w:type="dxa" w:w="70"/>
              <w:left w:type="dxa" w:w="120"/>
              <w:bottom w:type="dxa" w:w="70"/>
              <w:right w:type="dxa" w:w="120"/>
            </w:tcMar>
          </w:tcPr>
          <w:p>
            <w:r>
              <w:rPr>
                <w:sz w:val="19"/>
                <w:szCs w:val="19"/>
              </w:rPr>
              <w:t xml:space="preserve">600 dpi</w:t>
            </w:r>
          </w:p>
        </w:tc>
        <w:tc>
          <w:tcPr>
            <w:tcW w:type="dxa" w:w="6300"/>
            <w:shd w:fill="F8FAFC" w:val="clear"/>
            <w:tcMar>
              <w:top w:type="dxa" w:w="70"/>
              <w:left w:type="dxa" w:w="120"/>
              <w:bottom w:type="dxa" w:w="70"/>
              <w:right w:type="dxa" w:w="120"/>
            </w:tcMar>
          </w:tcPr>
          <w:p>
            <w:r>
              <w:rPr>
                <w:sz w:val="19"/>
                <w:szCs w:val="19"/>
              </w:rPr>
              <w:t xml:space="preserve">Tryck och tidskrifter med höga krav</w:t>
            </w:r>
          </w:p>
        </w:tc>
      </w:tr>
    </w:tbl>
    <w:p>
      <w:pPr>
        <w:spacing w:after="140" w:line="276"/>
      </w:pPr>
      <w:r>
        <w:rPr>
          <w:sz w:val="21"/>
          <w:szCs w:val="21"/>
        </w:rPr>
        <w:t xml:space="preserve">SVG är ett vektorformat som kan förstoras obegränsat utan kvalitetsförlust. Infoga det i Word via Infoga → Bilder.</w:t>
      </w:r>
    </w:p>
    <w:p>
      <w:pPr>
        <w:spacing w:after="140"/>
      </w:pPr>
    </w:p>
    <w:p>
      <w:pPr>
        <w:pStyle w:val="Heading2"/>
        <w:spacing w:after="120" w:before="240"/>
      </w:pPr>
      <w:r>
        <w:t xml:space="preserve">10.2 Datafiler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shd w:fill="1E40AF" w:val="clear"/>
            <w:tcMar>
              <w:top w:type="dxa" w:w="80"/>
              <w:left w:type="dxa" w:w="120"/>
              <w:bottom w:type="dxa" w:w="80"/>
              <w:right w:type="dxa" w:w="120"/>
            </w:tcMar>
          </w:tcPr>
          <w:p>
            <w:r>
              <w:rPr>
                <w:b/>
                <w:bCs/>
                <w:color w:val="FFFFFF"/>
                <w:sz w:val="19"/>
                <w:szCs w:val="19"/>
              </w:rPr>
              <w:t xml:space="preserve">Fil</w:t>
            </w:r>
          </w:p>
        </w:tc>
        <w:tc>
          <w:tcPr>
            <w:tcW w:type="dxa" w:w="6300"/>
            <w:shd w:fill="1E40AF" w:val="clear"/>
            <w:tcMar>
              <w:top w:type="dxa" w:w="80"/>
              <w:left w:type="dxa" w:w="120"/>
              <w:bottom w:type="dxa" w:w="80"/>
              <w:right w:type="dxa" w:w="120"/>
            </w:tcMar>
          </w:tcPr>
          <w:p>
            <w:r>
              <w:rPr>
                <w:b/>
                <w:bCs/>
                <w:color w:val="FFFFFF"/>
                <w:sz w:val="19"/>
                <w:szCs w:val="19"/>
              </w:rPr>
              <w:t xml:space="preserve">Innehåll</w:t>
            </w:r>
          </w:p>
        </w:tc>
      </w:tr>
      <w:tr>
        <w:tc>
          <w:tcPr>
            <w:tcW w:type="dxa" w:w="2700"/>
            <w:shd w:fill="F8FAFC" w:val="clear"/>
            <w:tcMar>
              <w:top w:type="dxa" w:w="70"/>
              <w:left w:type="dxa" w:w="120"/>
              <w:bottom w:type="dxa" w:w="70"/>
              <w:right w:type="dxa" w:w="120"/>
            </w:tcMar>
          </w:tcPr>
          <w:p>
            <w:r>
              <w:rPr>
                <w:sz w:val="19"/>
                <w:szCs w:val="19"/>
              </w:rPr>
              <w:t xml:space="preserve">Resultat-CSV</w:t>
            </w:r>
          </w:p>
        </w:tc>
        <w:tc>
          <w:tcPr>
            <w:tcW w:type="dxa" w:w="6300"/>
            <w:shd w:fill="F8FAFC" w:val="clear"/>
            <w:tcMar>
              <w:top w:type="dxa" w:w="70"/>
              <w:left w:type="dxa" w:w="120"/>
              <w:bottom w:type="dxa" w:w="70"/>
              <w:right w:type="dxa" w:w="120"/>
            </w:tcMar>
          </w:tcPr>
          <w:p>
            <w:r>
              <w:rPr>
                <w:sz w:val="19"/>
                <w:szCs w:val="19"/>
              </w:rPr>
              <w:t xml:space="preserve">Alla beräknade storheter med konfidensintervall samt antal uteslutna punkter</w:t>
            </w:r>
          </w:p>
        </w:tc>
      </w:tr>
      <w:tr>
        <w:tc>
          <w:tcPr>
            <w:tcW w:type="dxa" w:w="2700"/>
            <w:shd w:fill="FFFFFF" w:val="clear"/>
            <w:tcMar>
              <w:top w:type="dxa" w:w="70"/>
              <w:left w:type="dxa" w:w="120"/>
              <w:bottom w:type="dxa" w:w="70"/>
              <w:right w:type="dxa" w:w="120"/>
            </w:tcMar>
          </w:tcPr>
          <w:p>
            <w:r>
              <w:rPr>
                <w:sz w:val="19"/>
                <w:szCs w:val="19"/>
              </w:rPr>
              <w:t xml:space="preserve">Matchade par (Excel)</w:t>
            </w:r>
          </w:p>
        </w:tc>
        <w:tc>
          <w:tcPr>
            <w:tcW w:type="dxa" w:w="6300"/>
            <w:shd w:fill="FFFFFF" w:val="clear"/>
            <w:tcMar>
              <w:top w:type="dxa" w:w="70"/>
              <w:left w:type="dxa" w:w="120"/>
              <w:bottom w:type="dxa" w:w="70"/>
              <w:right w:type="dxa" w:w="120"/>
            </w:tcMar>
          </w:tcPr>
          <w:p>
            <w:r>
              <w:rPr>
                <w:sz w:val="19"/>
                <w:szCs w:val="19"/>
              </w:rPr>
              <w:t xml:space="preserve">Blad 1: matchade par med status Included eller Excluded. Blad 2 och 3: prov som endast fanns i den ena filen</w:t>
            </w:r>
          </w:p>
        </w:tc>
      </w:tr>
      <w:tr>
        <w:tc>
          <w:tcPr>
            <w:tcW w:type="dxa" w:w="2700"/>
            <w:shd w:fill="F8FAFC" w:val="clear"/>
            <w:tcMar>
              <w:top w:type="dxa" w:w="70"/>
              <w:left w:type="dxa" w:w="120"/>
              <w:bottom w:type="dxa" w:w="70"/>
              <w:right w:type="dxa" w:w="120"/>
            </w:tcMar>
          </w:tcPr>
          <w:p>
            <w:r>
              <w:rPr>
                <w:sz w:val="19"/>
                <w:szCs w:val="19"/>
              </w:rPr>
              <w:t xml:space="preserve">Matris-CSV</w:t>
            </w:r>
          </w:p>
        </w:tc>
        <w:tc>
          <w:tcPr>
            <w:tcW w:type="dxa" w:w="6300"/>
            <w:shd w:fill="F8FAFC" w:val="clear"/>
            <w:tcMar>
              <w:top w:type="dxa" w:w="70"/>
              <w:left w:type="dxa" w:w="120"/>
              <w:bottom w:type="dxa" w:w="70"/>
              <w:right w:type="dxa" w:w="120"/>
            </w:tcMar>
          </w:tcPr>
          <w:p>
            <w:r>
              <w:rPr>
                <w:sz w:val="19"/>
                <w:szCs w:val="19"/>
              </w:rPr>
              <w:t xml:space="preserve">Konfusionsmatrisens antalssiffror</w:t>
            </w:r>
          </w:p>
        </w:tc>
      </w:tr>
      <w:tr>
        <w:tc>
          <w:tcPr>
            <w:tcW w:type="dxa" w:w="2700"/>
            <w:shd w:fill="FFFFFF" w:val="clear"/>
            <w:tcMar>
              <w:top w:type="dxa" w:w="70"/>
              <w:left w:type="dxa" w:w="120"/>
              <w:bottom w:type="dxa" w:w="70"/>
              <w:right w:type="dxa" w:w="120"/>
            </w:tcMar>
          </w:tcPr>
          <w:p>
            <w:r>
              <w:rPr>
                <w:sz w:val="19"/>
                <w:szCs w:val="19"/>
              </w:rPr>
              <w:t xml:space="preserve">Precisionstabell (CSV)</w:t>
            </w:r>
          </w:p>
        </w:tc>
        <w:tc>
          <w:tcPr>
            <w:tcW w:type="dxa" w:w="6300"/>
            <w:shd w:fill="FFFFFF" w:val="clear"/>
            <w:tcMar>
              <w:top w:type="dxa" w:w="70"/>
              <w:left w:type="dxa" w:w="120"/>
              <w:bottom w:type="dxa" w:w="70"/>
              <w:right w:type="dxa" w:w="120"/>
            </w:tcMar>
          </w:tcPr>
          <w:p>
            <w:r>
              <w:rPr>
                <w:sz w:val="19"/>
                <w:szCs w:val="19"/>
              </w:rPr>
              <w:t xml:space="preserve">Tabell i tidskriftsformat med dagar som rader, replikat och statistik som kolumner. Innehåller både CLSI-måtten och den sammanslagna beräkningen</w:t>
            </w:r>
          </w:p>
        </w:tc>
      </w:tr>
      <w:tr>
        <w:tc>
          <w:tcPr>
            <w:tcW w:type="dxa" w:w="2700"/>
            <w:shd w:fill="F8FAFC" w:val="clear"/>
            <w:tcMar>
              <w:top w:type="dxa" w:w="70"/>
              <w:left w:type="dxa" w:w="120"/>
              <w:bottom w:type="dxa" w:w="70"/>
              <w:right w:type="dxa" w:w="120"/>
            </w:tcMar>
          </w:tcPr>
          <w:p>
            <w:r>
              <w:rPr>
                <w:sz w:val="19"/>
                <w:szCs w:val="19"/>
              </w:rPr>
              <w:t xml:space="preserve">Precision (Excel)</w:t>
            </w:r>
          </w:p>
        </w:tc>
        <w:tc>
          <w:tcPr>
            <w:tcW w:type="dxa" w:w="6300"/>
            <w:shd w:fill="F8FAFC" w:val="clear"/>
            <w:tcMar>
              <w:top w:type="dxa" w:w="70"/>
              <w:left w:type="dxa" w:w="120"/>
              <w:bottom w:type="dxa" w:w="70"/>
              <w:right w:type="dxa" w:w="120"/>
            </w:tcMar>
          </w:tcPr>
          <w:p>
            <w:r>
              <w:rPr>
                <w:sz w:val="19"/>
                <w:szCs w:val="19"/>
              </w:rPr>
              <w:t xml:space="preserve">Rådata med dagmärkning samt sammanfattning av samtliga precisionsmått</w:t>
            </w:r>
          </w:p>
        </w:tc>
      </w:tr>
      <w:tr>
        <w:tc>
          <w:tcPr>
            <w:tcW w:type="dxa" w:w="2700"/>
            <w:shd w:fill="FFFFFF" w:val="clear"/>
            <w:tcMar>
              <w:top w:type="dxa" w:w="70"/>
              <w:left w:type="dxa" w:w="120"/>
              <w:bottom w:type="dxa" w:w="70"/>
              <w:right w:type="dxa" w:w="120"/>
            </w:tcMar>
          </w:tcPr>
          <w:p>
            <w:r>
              <w:rPr>
                <w:sz w:val="19"/>
                <w:szCs w:val="19"/>
              </w:rPr>
              <w:t xml:space="preserve">HTML-rapport</w:t>
            </w:r>
          </w:p>
        </w:tc>
        <w:tc>
          <w:tcPr>
            <w:tcW w:type="dxa" w:w="6300"/>
            <w:shd w:fill="FFFFFF" w:val="clear"/>
            <w:tcMar>
              <w:top w:type="dxa" w:w="70"/>
              <w:left w:type="dxa" w:w="120"/>
              <w:bottom w:type="dxa" w:w="70"/>
              <w:right w:type="dxa" w:w="120"/>
            </w:tcMar>
          </w:tcPr>
          <w:p>
            <w:r>
              <w:rPr>
                <w:sz w:val="19"/>
                <w:szCs w:val="19"/>
              </w:rPr>
              <w:t xml:space="preserve">Fristående fil med båda diagrammen och en resultattabell</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1F5F9" w:val="clear"/>
            <w:tcMar>
              <w:top w:type="dxa" w:w="140"/>
              <w:left w:type="dxa" w:w="180"/>
              <w:bottom w:type="dxa" w:w="140"/>
              <w:right w:type="dxa" w:w="180"/>
            </w:tcMar>
          </w:tcPr>
          <w:p>
            <w:pPr>
              <w:spacing w:after="80"/>
            </w:pPr>
            <w:r>
              <w:rPr>
                <w:b/>
                <w:bCs/>
                <w:color w:val="1E40AF"/>
                <w:sz w:val="21"/>
                <w:szCs w:val="21"/>
              </w:rPr>
              <w:t xml:space="preserve">CSV-filer och svenska Excel</w:t>
            </w:r>
          </w:p>
          <w:p>
            <w:pPr>
              <w:spacing w:after="50"/>
            </w:pPr>
            <w:r>
              <w:rPr>
                <w:sz w:val="20"/>
                <w:szCs w:val="20"/>
              </w:rPr>
              <w:t xml:space="preserve">Alla CSV-filer är semikolonseparerade och använder komma som decimaltecken. De öppnas därför direkt i svensk Excel utan importdialog.</w:t>
            </w:r>
          </w:p>
          <w:p>
            <w:pPr>
              <w:spacing w:after="50"/>
            </w:pPr>
            <w:r>
              <w:rPr>
                <w:sz w:val="20"/>
                <w:szCs w:val="20"/>
              </w:rPr>
              <w:t xml:space="preserve">Talen kommer in som text för att decimalkommat ska visas exakt. Behöver du räkna på en kolumn: markera den och välj Data → Text till kolumner → Slutför.</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1F5F9" w:val="clear"/>
            <w:tcMar>
              <w:top w:type="dxa" w:w="140"/>
              <w:left w:type="dxa" w:w="180"/>
              <w:bottom w:type="dxa" w:w="140"/>
              <w:right w:type="dxa" w:w="180"/>
            </w:tcMar>
          </w:tcPr>
          <w:p>
            <w:pPr>
              <w:spacing w:after="80"/>
            </w:pPr>
            <w:r>
              <w:rPr>
                <w:b/>
                <w:bCs/>
                <w:color w:val="1E40AF"/>
                <w:sz w:val="21"/>
                <w:szCs w:val="21"/>
              </w:rPr>
              <w:t xml:space="preserve">Om HTML-rapporten</w:t>
            </w:r>
          </w:p>
          <w:p>
            <w:pPr>
              <w:spacing w:after="50"/>
            </w:pPr>
            <w:r>
              <w:rPr>
                <w:sz w:val="20"/>
                <w:szCs w:val="20"/>
              </w:rPr>
              <w:t xml:space="preserve">HTML-rapporten är en ögonblicksbild. Diagrammen går att zooma och panorera, men inga värden räknas om i filen.</w:t>
            </w:r>
          </w:p>
          <w:p>
            <w:pPr>
              <w:spacing w:after="50"/>
            </w:pPr>
            <w:r>
              <w:rPr>
                <w:sz w:val="20"/>
                <w:szCs w:val="20"/>
              </w:rPr>
              <w:t xml:space="preserve">Gör klart alla uteslutningar i programmet innan du laddar ned rapporten.</w:t>
            </w:r>
          </w:p>
        </w:tc>
      </w:tr>
    </w:tbl>
    <w:p>
      <w:r>
        <w:br w:type="page"/>
      </w:r>
    </w:p>
    <w:p>
      <w:pPr>
        <w:pStyle w:val="Heading1"/>
        <w:spacing w:after="160" w:before="320"/>
      </w:pPr>
      <w:r>
        <w:t xml:space="preserve">11. Felsökning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E40AF" w:val="clear"/>
            <w:tcMar>
              <w:top w:type="dxa" w:w="80"/>
              <w:left w:type="dxa" w:w="120"/>
              <w:bottom w:type="dxa" w:w="80"/>
              <w:right w:type="dxa" w:w="120"/>
            </w:tcMar>
          </w:tcPr>
          <w:p>
            <w:r>
              <w:rPr>
                <w:b/>
                <w:bCs/>
                <w:color w:val="FFFFFF"/>
                <w:sz w:val="19"/>
                <w:szCs w:val="19"/>
              </w:rPr>
              <w:t xml:space="preserve">Problem</w:t>
            </w:r>
          </w:p>
        </w:tc>
        <w:tc>
          <w:tcPr>
            <w:tcW w:type="dxa" w:w="6000"/>
            <w:shd w:fill="1E40AF" w:val="clear"/>
            <w:tcMar>
              <w:top w:type="dxa" w:w="80"/>
              <w:left w:type="dxa" w:w="120"/>
              <w:bottom w:type="dxa" w:w="80"/>
              <w:right w:type="dxa" w:w="120"/>
            </w:tcMar>
          </w:tcPr>
          <w:p>
            <w:r>
              <w:rPr>
                <w:b/>
                <w:bCs/>
                <w:color w:val="FFFFFF"/>
                <w:sz w:val="19"/>
                <w:szCs w:val="19"/>
              </w:rPr>
              <w:t xml:space="preserve">Trolig orsak och åtgärd</w:t>
            </w:r>
          </w:p>
        </w:tc>
      </w:tr>
      <w:tr>
        <w:tc>
          <w:tcPr>
            <w:tcW w:type="dxa" w:w="3000"/>
            <w:shd w:fill="F8FAFC" w:val="clear"/>
            <w:tcMar>
              <w:top w:type="dxa" w:w="70"/>
              <w:left w:type="dxa" w:w="120"/>
              <w:bottom w:type="dxa" w:w="70"/>
              <w:right w:type="dxa" w:w="120"/>
            </w:tcMar>
          </w:tcPr>
          <w:p>
            <w:r>
              <w:rPr>
                <w:sz w:val="19"/>
                <w:szCs w:val="19"/>
              </w:rPr>
              <w:t xml:space="preserve">Första raden i filen saknas i analysen</w:t>
            </w:r>
          </w:p>
        </w:tc>
        <w:tc>
          <w:tcPr>
            <w:tcW w:type="dxa" w:w="6000"/>
            <w:shd w:fill="F8FAFC" w:val="clear"/>
            <w:tcMar>
              <w:top w:type="dxa" w:w="70"/>
              <w:left w:type="dxa" w:w="120"/>
              <w:bottom w:type="dxa" w:w="70"/>
              <w:right w:type="dxa" w:w="120"/>
            </w:tcMar>
          </w:tcPr>
          <w:p>
            <w:r>
              <w:rPr>
                <w:sz w:val="19"/>
                <w:szCs w:val="19"/>
              </w:rPr>
              <w:t xml:space="preserve">Filen saknar rubrikrad. Välj Ingen rubrik så att första raden behandlas som data. Kolumnerna får då namnen Kolumn 1, Kolumn 2 och så vidare.</w:t>
            </w:r>
          </w:p>
        </w:tc>
      </w:tr>
      <w:tr>
        <w:tc>
          <w:tcPr>
            <w:tcW w:type="dxa" w:w="3000"/>
            <w:shd w:fill="FFFFFF" w:val="clear"/>
            <w:tcMar>
              <w:top w:type="dxa" w:w="70"/>
              <w:left w:type="dxa" w:w="120"/>
              <w:bottom w:type="dxa" w:w="70"/>
              <w:right w:type="dxa" w:w="120"/>
            </w:tcMar>
          </w:tcPr>
          <w:p>
            <w:r>
              <w:rPr>
                <w:sz w:val="19"/>
                <w:szCs w:val="19"/>
              </w:rPr>
              <w:t xml:space="preserve">Inga matchade par hittas mellan två filer</w:t>
            </w:r>
          </w:p>
        </w:tc>
        <w:tc>
          <w:tcPr>
            <w:tcW w:type="dxa" w:w="6000"/>
            <w:shd w:fill="FFFFFF" w:val="clear"/>
            <w:tcMar>
              <w:top w:type="dxa" w:w="70"/>
              <w:left w:type="dxa" w:w="120"/>
              <w:bottom w:type="dxa" w:w="70"/>
              <w:right w:type="dxa" w:w="120"/>
            </w:tcMar>
          </w:tcPr>
          <w:p>
            <w:r>
              <w:rPr>
                <w:sz w:val="19"/>
                <w:szCs w:val="19"/>
              </w:rPr>
              <w:t xml:space="preserve">Kontrollera att rätt kolumn valts som Prov-ID i båda filerna och att prov-ID skrivs på exakt samma sätt. Kontrollera även att vald analyt finns i båda filerna.</w:t>
            </w:r>
          </w:p>
        </w:tc>
      </w:tr>
      <w:tr>
        <w:tc>
          <w:tcPr>
            <w:tcW w:type="dxa" w:w="3000"/>
            <w:shd w:fill="F8FAFC" w:val="clear"/>
            <w:tcMar>
              <w:top w:type="dxa" w:w="70"/>
              <w:left w:type="dxa" w:w="120"/>
              <w:bottom w:type="dxa" w:w="70"/>
              <w:right w:type="dxa" w:w="120"/>
            </w:tcMar>
          </w:tcPr>
          <w:p>
            <w:r>
              <w:rPr>
                <w:sz w:val="19"/>
                <w:szCs w:val="19"/>
              </w:rPr>
              <w:t xml:space="preserve">Kolumnerna heter 0, 1, 2 i stället för riktiga namn</w:t>
            </w:r>
          </w:p>
        </w:tc>
        <w:tc>
          <w:tcPr>
            <w:tcW w:type="dxa" w:w="6000"/>
            <w:shd w:fill="F8FAFC" w:val="clear"/>
            <w:tcMar>
              <w:top w:type="dxa" w:w="70"/>
              <w:left w:type="dxa" w:w="120"/>
              <w:bottom w:type="dxa" w:w="70"/>
              <w:right w:type="dxa" w:w="120"/>
            </w:tcMar>
          </w:tcPr>
          <w:p>
            <w:r>
              <w:rPr>
                <w:sz w:val="19"/>
                <w:szCs w:val="19"/>
              </w:rPr>
              <w:t xml:space="preserve">Filen lästes utan rubrikrad. Byt till Ja (första raden).</w:t>
            </w:r>
          </w:p>
        </w:tc>
      </w:tr>
      <w:tr>
        <w:tc>
          <w:tcPr>
            <w:tcW w:type="dxa" w:w="3000"/>
            <w:shd w:fill="FFFFFF" w:val="clear"/>
            <w:tcMar>
              <w:top w:type="dxa" w:w="70"/>
              <w:left w:type="dxa" w:w="120"/>
              <w:bottom w:type="dxa" w:w="70"/>
              <w:right w:type="dxa" w:w="120"/>
            </w:tcMar>
          </w:tcPr>
          <w:p>
            <w:r>
              <w:rPr>
                <w:sz w:val="19"/>
                <w:szCs w:val="19"/>
              </w:rPr>
              <w:t xml:space="preserve">Repeterbarhet och total imprecision blir identiska</w:t>
            </w:r>
          </w:p>
        </w:tc>
        <w:tc>
          <w:tcPr>
            <w:tcW w:type="dxa" w:w="6000"/>
            <w:shd w:fill="FFFFFF" w:val="clear"/>
            <w:tcMar>
              <w:top w:type="dxa" w:w="70"/>
              <w:left w:type="dxa" w:w="120"/>
              <w:bottom w:type="dxa" w:w="70"/>
              <w:right w:type="dxa" w:w="120"/>
            </w:tcMar>
          </w:tcPr>
          <w:p>
            <w:r>
              <w:rPr>
                <w:sz w:val="19"/>
                <w:szCs w:val="19"/>
              </w:rPr>
              <w:t xml:space="preserve">Ingen mätbar variation mellan dagar. Se avsnitt 8.4 och kontrollera dagindelningen.</w:t>
            </w:r>
          </w:p>
        </w:tc>
      </w:tr>
      <w:tr>
        <w:tc>
          <w:tcPr>
            <w:tcW w:type="dxa" w:w="3000"/>
            <w:shd w:fill="F8FAFC" w:val="clear"/>
            <w:tcMar>
              <w:top w:type="dxa" w:w="70"/>
              <w:left w:type="dxa" w:w="120"/>
              <w:bottom w:type="dxa" w:w="70"/>
              <w:right w:type="dxa" w:w="120"/>
            </w:tcMar>
          </w:tcPr>
          <w:p>
            <w:r>
              <w:rPr>
                <w:sz w:val="19"/>
                <w:szCs w:val="19"/>
              </w:rPr>
              <w:t xml:space="preserve">Uteslutna punkter återställs oväntat</w:t>
            </w:r>
          </w:p>
        </w:tc>
        <w:tc>
          <w:tcPr>
            <w:tcW w:type="dxa" w:w="6000"/>
            <w:shd w:fill="F8FAFC" w:val="clear"/>
            <w:tcMar>
              <w:top w:type="dxa" w:w="70"/>
              <w:left w:type="dxa" w:w="120"/>
              <w:bottom w:type="dxa" w:w="70"/>
              <w:right w:type="dxa" w:w="120"/>
            </w:tcMar>
          </w:tcPr>
          <w:p>
            <w:r>
              <w:rPr>
                <w:sz w:val="19"/>
                <w:szCs w:val="19"/>
              </w:rPr>
              <w:t xml:space="preserve">Uteslutningar nollställs när du klickar Analysera på nytt eller laddar in data med annat antal punkter.</w:t>
            </w:r>
          </w:p>
        </w:tc>
      </w:tr>
      <w:tr>
        <w:tc>
          <w:tcPr>
            <w:tcW w:type="dxa" w:w="3000"/>
            <w:shd w:fill="FFFFFF" w:val="clear"/>
            <w:tcMar>
              <w:top w:type="dxa" w:w="70"/>
              <w:left w:type="dxa" w:w="120"/>
              <w:bottom w:type="dxa" w:w="70"/>
              <w:right w:type="dxa" w:w="120"/>
            </w:tcMar>
          </w:tcPr>
          <w:p>
            <w:r>
              <w:rPr>
                <w:sz w:val="19"/>
                <w:szCs w:val="19"/>
              </w:rPr>
              <w:t xml:space="preserve">Analysen körs inte trots att data laddats</w:t>
            </w:r>
          </w:p>
        </w:tc>
        <w:tc>
          <w:tcPr>
            <w:tcW w:type="dxa" w:w="6000"/>
            <w:shd w:fill="FFFFFF" w:val="clear"/>
            <w:tcMar>
              <w:top w:type="dxa" w:w="70"/>
              <w:left w:type="dxa" w:w="120"/>
              <w:bottom w:type="dxa" w:w="70"/>
              <w:right w:type="dxa" w:w="120"/>
            </w:tcMar>
          </w:tcPr>
          <w:p>
            <w:r>
              <w:rPr>
                <w:sz w:val="19"/>
                <w:szCs w:val="19"/>
              </w:rPr>
              <w:t xml:space="preserve">Klicka på knappen Analysera. Regressionsanalyserna startar inte automatiskt.</w:t>
            </w:r>
          </w:p>
        </w:tc>
      </w:tr>
      <w:tr>
        <w:tc>
          <w:tcPr>
            <w:tcW w:type="dxa" w:w="3000"/>
            <w:shd w:fill="F8FAFC" w:val="clear"/>
            <w:tcMar>
              <w:top w:type="dxa" w:w="70"/>
              <w:left w:type="dxa" w:w="120"/>
              <w:bottom w:type="dxa" w:w="70"/>
              <w:right w:type="dxa" w:w="120"/>
            </w:tcMar>
          </w:tcPr>
          <w:p>
            <w:r>
              <w:rPr>
                <w:sz w:val="19"/>
                <w:szCs w:val="19"/>
              </w:rPr>
              <w:t xml:space="preserve">CSV-filen ser felaktig ut i Excel</w:t>
            </w:r>
          </w:p>
        </w:tc>
        <w:tc>
          <w:tcPr>
            <w:tcW w:type="dxa" w:w="6000"/>
            <w:shd w:fill="F8FAFC" w:val="clear"/>
            <w:tcMar>
              <w:top w:type="dxa" w:w="70"/>
              <w:left w:type="dxa" w:w="120"/>
              <w:bottom w:type="dxa" w:w="70"/>
              <w:right w:type="dxa" w:w="120"/>
            </w:tcMar>
          </w:tcPr>
          <w:p>
            <w:r>
              <w:rPr>
                <w:sz w:val="19"/>
                <w:szCs w:val="19"/>
              </w:rPr>
              <w:t xml:space="preserve">Filen ska öppnas i Excel utan importdialog. Om texten hamnar i en enda kolumn, kontrollera att Excel har svenska som listformat.</w:t>
            </w:r>
          </w:p>
        </w:tc>
      </w:tr>
    </w:tbl>
    <w:p>
      <w:r>
        <w:br w:type="page"/>
      </w:r>
    </w:p>
    <w:p>
      <w:pPr>
        <w:pStyle w:val="Heading1"/>
        <w:spacing w:after="160" w:before="320"/>
      </w:pPr>
      <w:r>
        <w:t xml:space="preserve">12. Referenser</w:t>
      </w:r>
    </w:p>
    <w:p>
      <w:pPr>
        <w:spacing w:after="100" w:line="276"/>
      </w:pPr>
      <w:r>
        <w:rPr>
          <w:sz w:val="21"/>
          <w:szCs w:val="21"/>
        </w:rPr>
        <w:t xml:space="preserve">Passing H, Bablok W. A new biometrical procedure for testing the equality of measurements from two different analytical methods. J Clin Chem Clin Biochem. 1983;21(11):709–720.</w:t>
      </w:r>
    </w:p>
    <w:p>
      <w:pPr>
        <w:spacing w:after="100" w:line="276"/>
      </w:pPr>
      <w:r>
        <w:rPr>
          <w:sz w:val="21"/>
          <w:szCs w:val="21"/>
        </w:rPr>
        <w:t xml:space="preserve">Linnet K. Estimation of the linear relationship between the measurements of two methods with proportional errors. Stat Med. 1990;9(12):1463–1473.</w:t>
      </w:r>
    </w:p>
    <w:p>
      <w:pPr>
        <w:spacing w:after="100" w:line="276"/>
      </w:pPr>
      <w:r>
        <w:rPr>
          <w:sz w:val="21"/>
          <w:szCs w:val="21"/>
        </w:rPr>
        <w:t xml:space="preserve">Bland JM, Altman DG. Statistical methods for assessing agreement between two methods of clinical measurement. Lancet. 1986;327(8476):307–310.</w:t>
      </w:r>
    </w:p>
    <w:p>
      <w:pPr>
        <w:spacing w:after="100" w:line="276"/>
      </w:pPr>
      <w:r>
        <w:rPr>
          <w:sz w:val="21"/>
          <w:szCs w:val="21"/>
        </w:rPr>
        <w:t xml:space="preserve">Chesher D. Evaluating assay precision. Clin Biochem Rev. 2008;29(Suppl i):S23–S26.</w:t>
      </w:r>
    </w:p>
    <w:p>
      <w:pPr>
        <w:spacing w:after="100" w:line="276"/>
      </w:pPr>
      <w:r>
        <w:rPr>
          <w:sz w:val="21"/>
          <w:szCs w:val="21"/>
        </w:rPr>
        <w:t xml:space="preserve">CLSI EP15-A3. User Verification of Precision and Estimation of Bias; Approved Guideline — Third Edition. Wayne, PA: Clinical and Laboratory Standards Institute; 2014.</w:t>
      </w:r>
    </w:p>
    <w:p>
      <w:pPr>
        <w:spacing w:after="100" w:line="276"/>
      </w:pPr>
      <w:r>
        <w:rPr>
          <w:sz w:val="21"/>
          <w:szCs w:val="21"/>
        </w:rPr>
        <w:t xml:space="preserve">Simundic AM et al. Are your laboratory data reproducible? The critical role of imprecision from replicate measurements to clinical decision-making. Ann Lab Med. 2025.</w:t>
      </w:r>
    </w:p>
    <w:p>
      <w:pPr>
        <w:spacing w:after="100" w:line="276"/>
      </w:pPr>
      <w:r>
        <w:rPr>
          <w:sz w:val="21"/>
          <w:szCs w:val="21"/>
        </w:rPr>
        <w:t xml:space="preserve">CLSI EP09c. Measurement Procedure Comparison and Bias Estimation Using Patient Samples. Wayne, PA: Clinical and Laboratory Standards Institute; 2018.</w:t>
      </w:r>
    </w:p>
    <w:p>
      <w:pPr>
        <w:spacing w:after="100" w:line="276"/>
      </w:pPr>
      <w:r>
        <w:rPr>
          <w:sz w:val="21"/>
          <w:szCs w:val="21"/>
        </w:rPr>
        <w:t xml:space="preserve">CLSI M52. Verification of Commercial Microbial Identification and Antimicrobial Susceptibility Testing Systems. Wayne, PA: Clinical and Laboratory Standards Institute; 2015.</w:t>
      </w:r>
    </w:p>
    <w:p>
      <w:pPr>
        <w:spacing w:after="100" w:line="276"/>
      </w:pPr>
      <w:r>
        <w:rPr>
          <w:sz w:val="21"/>
          <w:szCs w:val="21"/>
        </w:rPr>
        <w:t xml:space="preserve">EUCAST. Disk Diffusion Method for Antimicrobial Susceptibility Testing, Implementation Guide version 10.0. 2023.</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1F5F9" w:val="clear"/>
            <w:tcMar>
              <w:top w:type="dxa" w:w="140"/>
              <w:left w:type="dxa" w:w="180"/>
              <w:bottom w:type="dxa" w:w="140"/>
              <w:right w:type="dxa" w:w="180"/>
            </w:tcMar>
          </w:tcPr>
          <w:p>
            <w:pPr>
              <w:spacing w:after="80"/>
            </w:pPr>
            <w:r>
              <w:rPr>
                <w:b/>
                <w:bCs/>
                <w:color w:val="1E40AF"/>
                <w:sz w:val="21"/>
                <w:szCs w:val="21"/>
              </w:rPr>
              <w:t xml:space="preserve">Validering av beräkningarna</w:t>
            </w:r>
          </w:p>
          <w:p>
            <w:pPr>
              <w:spacing w:after="50"/>
            </w:pPr>
            <w:r>
              <w:rPr>
                <w:sz w:val="20"/>
                <w:szCs w:val="20"/>
              </w:rPr>
              <w:t xml:space="preserve">Precisionsberäkningarna är kontrollerade mot det räkneexempel som publicerats av Chesher (2008) och återger samtliga publicerade delresultat exakt.</w:t>
            </w:r>
          </w:p>
          <w:p>
            <w:pPr>
              <w:spacing w:after="50"/>
            </w:pPr>
            <w:r>
              <w:rPr>
                <w:sz w:val="20"/>
                <w:szCs w:val="20"/>
              </w:rPr>
              <w:t xml:space="preserve">Bland–Altman är kontrollerad mot originalarbetets PEFR-material (Bland &amp; Altman 1986).</w:t>
            </w:r>
          </w:p>
          <w:p>
            <w:pPr>
              <w:spacing w:after="50"/>
            </w:pPr>
            <w:r>
              <w:rPr>
                <w:sz w:val="20"/>
                <w:szCs w:val="20"/>
              </w:rPr>
              <w:t xml:space="preserve">Deming är kontrollerad mot den analytiska lösningen samt mot ortogonal regression beräknad med singulärvärdesuppdelning.</w:t>
            </w:r>
          </w:p>
          <w:p>
            <w:pPr>
              <w:spacing w:after="50"/>
            </w:pPr>
            <w:r>
              <w:rPr>
                <w:sz w:val="20"/>
                <w:szCs w:val="20"/>
              </w:rPr>
              <w:t xml:space="preserve">Passing–Bablok är kontrollerad mot en oberoende implementation av den publicerade algoritmen.</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Sida </w:t>
      <w:fldChar w:fldCharType="begin"/>
      <w:instrText xml:space="preserve">PAGE</w:instrText>
      <w:fldChar w:fldCharType="separate"/>
      <w:fldChar w:fldCharType="end"/>
      <w:t xml:space="preserve"> av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Method Comparison Tool — Användarmanual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E40AF"/>
      <w:sz w:val="32"/>
      <w:szCs w:val="32"/>
    </w:rPr>
  </w:style>
  <w:style w:type="paragraph" w:styleId="Heading2">
    <w:name w:val="Heading 2"/>
    <w:basedOn w:val="Normal"/>
    <w:next w:val="Normal"/>
    <w:qFormat/>
    <w:pPr>
      <w:spacing w:after="120" w:before="240"/>
    </w:pPr>
    <w:rPr>
      <w:rFonts w:ascii="Calibri" w:cs="Calibri" w:eastAsia="Calibri" w:hAnsi="Calibri"/>
      <w:b/>
      <w:bCs/>
      <w:color w:val="334155"/>
      <w:sz w:val="26"/>
      <w:szCs w:val="26"/>
    </w:rPr>
  </w:style>
  <w:style w:type="paragraph" w:styleId="Heading3">
    <w:name w:val="Heading 3"/>
    <w:basedOn w:val="Normal"/>
    <w:next w:val="Normal"/>
    <w:qFormat/>
    <w:pPr>
      <w:spacing w:after="100" w:before="180"/>
    </w:pPr>
    <w:rPr>
      <w:rFonts w:ascii="Calibri" w:cs="Calibri" w:eastAsia="Calibri" w:hAnsi="Calibri"/>
      <w:b/>
      <w:bCs/>
      <w:color w:val="47556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 Comparison Tool — Användarmanual</dc:title>
  <dc:creator>Method Comparison Tool</dc:creator>
  <dc:description>Användarmanual för metodjämförelse och precisionsvärdering</dc:description>
  <cp:lastModifiedBy>Un-named</cp:lastModifiedBy>
  <cp:revision>1</cp:revision>
  <dcterms:created xsi:type="dcterms:W3CDTF">2026-09-09T08:05:30.101Z</dcterms:created>
  <dcterms:modified xsi:type="dcterms:W3CDTF">2026-09-09T08:05:30.113Z</dcterms:modified>
</cp:coreProperties>
</file>

<file path=docProps/custom.xml><?xml version="1.0" encoding="utf-8"?>
<Properties xmlns="http://schemas.openxmlformats.org/officeDocument/2006/custom-properties" xmlns:vt="http://schemas.openxmlformats.org/officeDocument/2006/docPropsVTypes"/>
</file>