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52E93A7">
      <w:pPr>
        <w:pStyle w:val="Title"/>
        <w:jc w:val="center"/>
      </w:pPr>
      <w:r>
        <w:rPr>
          <w:rFonts w:ascii="Calibri" w:hAnsi="Calibri" w:eastAsia="ＭＳ ゴシック" w:cs="Calibri" w:asciiTheme="majorHAnsi" w:hAnsiTheme="majorHAnsi" w:eastAsiaTheme="majorEastAsia" w:csTheme="majorBidi"/>
          <w:b/>
          <w:bCs/>
          <w:color w:val="1F3864"/>
          <w:spacing w:val="5"/>
          <w:kern w:val="28"/>
          <w:sz w:val="40"/>
          <w:szCs w:val="52"/>
        </w:rPr>
        <w:t>2030년 대한민국 인구 변화 예측 및 사회적 시사점 분석</w:t>
      </w:r>
    </w:p>
    <w:p w14:paraId="3EF1AFEE">
      <w:pPr>
        <w:spacing w:after="120" w:line="324" w:lineRule="auto"/>
        <w:jc w:val="center"/>
      </w:pPr>
      <w:r>
        <w:rPr>
          <w:rFonts w:ascii="Cambria" w:hAnsi="Cambria" w:eastAsia="ＭＳ 明朝" w:cs="Cambria" w:asciiTheme="minorHAnsi" w:hAnsiTheme="minorHAnsi" w:eastAsiaTheme="minorEastAsia" w:csTheme="minorBidi"/>
          <w:i/>
          <w:iCs/>
          <w:color w:val="595959"/>
          <w:sz w:val="22"/>
          <w:szCs w:val="22"/>
        </w:rPr>
        <w:t>머신러닝(다항 회귀) 기반의 인구 예측 모델링과 초저출산·초고령사회 대응 방안 탐구</w:t>
      </w:r>
    </w:p>
    <w:p w14:paraId="35A937D2">
      <w:pPr>
        <w:spacing w:after="120" w:line="324" w:lineRule="auto"/>
        <w:jc w:val="right"/>
      </w:pPr>
      <w:r>
        <w:rPr>
          <w:rFonts w:ascii="Cambria" w:hAnsi="Cambria" w:eastAsia="ＭＳ 明朝" w:cs="Cambria" w:asciiTheme="minorHAnsi" w:hAnsiTheme="minorHAnsi" w:eastAsiaTheme="minorEastAsia" w:csTheme="minorBidi"/>
          <w:color w:val="7F7F7F"/>
          <w:sz w:val="19"/>
          <w:szCs w:val="22"/>
        </w:rPr>
        <w:t xml:space="preserve">사회과 수행평가 보고서  |  작성자: 학생</w:t>
      </w:r>
    </w:p>
    <w:p w14:paraId="0F31DD80">
      <w:pPr>
        <w:spacing w:after="120" w:line="324" w:lineRule="auto"/>
      </w:pPr>
    </w:p>
    <w:p w14:paraId="46751B17">
      <w:pPr>
        <w:pStyle w:val="Heading1"/>
        <w:spacing w:before="240" w:after="120"/>
      </w:pPr>
      <w:r>
        <w:rPr>
          <w:rFonts w:ascii="Calibri" w:hAnsi="Calibri" w:eastAsia="ＭＳ ゴシック" w:cs="Calibri" w:asciiTheme="majorHAnsi" w:hAnsiTheme="majorHAnsi" w:eastAsiaTheme="majorEastAsia"/>
          <w:b/>
          <w:bCs/>
          <w:color w:val="1F3864"/>
          <w:sz w:val="28"/>
          <w:szCs w:val="28"/>
        </w:rPr>
        <w:t>1. 탐구 동기 및 목적</w:t>
      </w:r>
    </w:p>
    <w:p w14:paraId="30ADAB25">
      <w:pPr>
        <w:spacing w:after="120" w:line="324" w:lineRule="auto"/>
      </w:pPr>
      <w:r>
        <w:rPr>
          <w:rFonts w:ascii="Cambria" w:hAnsi="Cambria" w:eastAsia="ＭＳ 明朝" w:cs="Cambria" w:asciiTheme="minorHAnsi" w:hAnsiTheme="minorHAnsi" w:eastAsiaTheme="minorEastAsia" w:csTheme="minorBidi"/>
          <w:sz w:val="22"/>
          <w:szCs w:val="22"/>
        </w:rPr>
        <w:t>뉴스나 교과서에서 매일같이 저출산과 지방소멸, 인구 절벽이라는 단어가 쏟아져 나오지만, 막연한 위기감만 있을 뿐 실제로 10년 뒤 우리 사회의 인구가 얼마나 어떻게 줄어들지에 대해서는 체감하기 어려웠습니다. 단순히 언론에 보도되는 그래프를 수동적으로 받아보기보다는, 통계청의 실제 주민등록인구 데이터를 직접 추출하고 파이썬과 머신러닝 기법으로 모델링해 미래 인구 변화 곡선을 스스로 확인해보고 싶었습니다. 특히 총인구 수치의 감소뿐만 아니라 남녀 성비 변화와 인구 구조 왜곡이 우리 삶과 사회 제도(연금, 복지, 노동 시장)에 미칠 파급효과를 짚어보고, 청소년의 시각에서 실현 가능한 대안을 구체적으로 모색하고자 이번 탐구를 진행했습니다.</w:t>
      </w:r>
    </w:p>
    <w:p w14:paraId="74C9B659">
      <w:pPr>
        <w:pStyle w:val="Heading1"/>
        <w:spacing w:before="240" w:after="120"/>
      </w:pPr>
      <w:r>
        <w:rPr>
          <w:rFonts w:ascii="Calibri" w:hAnsi="Calibri" w:eastAsia="ＭＳ ゴシック" w:cs="Calibri" w:asciiTheme="majorHAnsi" w:hAnsiTheme="majorHAnsi" w:eastAsiaTheme="majorEastAsia"/>
          <w:b/>
          <w:bCs/>
          <w:color w:val="1F3864"/>
          <w:sz w:val="28"/>
          <w:szCs w:val="28"/>
        </w:rPr>
        <w:t>2. 데이터 분석 방법</w:t>
      </w:r>
    </w:p>
    <w:p w14:paraId="60DC119E">
      <w:pPr>
        <w:spacing w:after="120" w:line="324" w:lineRule="auto"/>
      </w:pPr>
      <w:r>
        <w:rPr>
          <w:rFonts w:ascii="Cambria" w:hAnsi="Cambria" w:eastAsia="ＭＳ 明朝" w:cs="Cambria" w:asciiTheme="minorHAnsi" w:hAnsiTheme="minorHAnsi" w:eastAsiaTheme="minorEastAsia" w:csTheme="minorBidi"/>
          <w:sz w:val="22"/>
          <w:szCs w:val="22"/>
        </w:rPr>
        <w:t>본 분석에서는 통계청 국가통계포털(KOSIS)의 '행정구역(시군구)별 주민등록인구' 데이터베이스(2011년 1월부터 2026년 6월까지 총 186개월간의 월별 전국 남녀 인구수 집계)를 활용했습니다. SQLite 데이터베이스('인구수_데이터.db')에 SQL 집계 쿼리를 실행하여 시점별 전국 남녀 인구수를 추출하였고, 연도와 월로 표기된 시점(예: 2011.01)을 연속적인 실수형(Float) 시계열 변수로 변환하여 머신러닝 입력값으로 설정했습니다.</w:t>
      </w:r>
    </w:p>
    <w:p w14:paraId="1E4E4C78">
      <w:pPr>
        <w:spacing w:after="120" w:line="324" w:lineRule="auto"/>
      </w:pPr>
      <w:r>
        <w:rPr>
          <w:rFonts w:ascii="Cambria" w:hAnsi="Cambria" w:eastAsia="ＭＳ 明朝" w:cs="Cambria" w:asciiTheme="minorHAnsi" w:hAnsiTheme="minorHAnsi" w:eastAsiaTheme="minorEastAsia" w:csTheme="minorBidi"/>
          <w:sz w:val="22"/>
          <w:szCs w:val="22"/>
        </w:rPr>
        <w:t>대한민국의 인구 추이는 단순한 직선형 증감이 아니라, 완만하게 상승하다가 정점을 찍고 점차 하강하는 완만한 포물선 형태를 띱니다. 이러한 비선형적 변곡점을 정밀하게 포착하기 위해 단순 선형 회귀 대신 scikit-learn 라이브러리의 2차 다항 회귀(Polynomial Regression, degree=2) 모델을 적용했습니다. 학습 결과 모델의 결정계수(R²)는 남성 인구 0.9525, 여성 인구 0.9605로 도출되어 과거 15년간의 인구 변동 궤적을 95% 이상의 높은 설명력으로 뒷받침하고 있음을 확인했습니다. 이 학습된 회귀 모델에 2030년 1월(2030.01) 시점을 대입하여 성별 및 총인구 예측값을 산출했습니다.</w:t>
      </w:r>
    </w:p>
    <w:p w14:paraId="5CDE1A3C">
      <w:pPr>
        <w:pStyle w:val="Heading1"/>
        <w:spacing w:before="240" w:after="120"/>
      </w:pPr>
      <w:r>
        <w:rPr>
          <w:rFonts w:ascii="Calibri" w:hAnsi="Calibri" w:eastAsia="ＭＳ ゴシック" w:cs="Calibri" w:asciiTheme="majorHAnsi" w:hAnsiTheme="majorHAnsi" w:eastAsiaTheme="majorEastAsia"/>
          <w:b/>
          <w:bCs/>
          <w:color w:val="1F3864"/>
          <w:sz w:val="28"/>
          <w:szCs w:val="28"/>
        </w:rPr>
        <w:t>3. 데이터 분석 결과</w:t>
      </w:r>
    </w:p>
    <w:p w14:paraId="64D80A1C">
      <w:pPr>
        <w:spacing w:after="120" w:line="324" w:lineRule="auto"/>
      </w:pPr>
      <w:r>
        <w:rPr>
          <w:rFonts w:ascii="Cambria" w:hAnsi="Cambria" w:eastAsia="ＭＳ 明朝" w:cs="Cambria" w:asciiTheme="minorHAnsi" w:hAnsiTheme="minorHAnsi" w:eastAsiaTheme="minorEastAsia" w:csTheme="minorBidi"/>
          <w:sz w:val="22"/>
          <w:szCs w:val="22"/>
        </w:rPr>
        <w:t>학습된 2차 다항 회귀 모델을 통해 분석한 결과, 2030년 1월 기준 대한민국의 총 예상 인구수는 약 49,636,775명으로 추산되었습니다. 성별로는 남성 약 24,657,516명, 여성 약 24,979,259명으로 나타나 여성이 남성보다 약 32만 명 더 많은 여초 구조가 지속될 것으로 예측되었습니다. 이는 2019년 11월 총인구 정점(5,185만 명) 대비 약 221만 명이 줄어든 수치이며, 심리적 지지선으로 여겨지던 '인구 5천만 명' 선이 본격적으로 무너짐을 의미합니다. 2011년부터 축적된 주요 시점별 실제 인구수와 2030년 예측치를 비교하면 아래 [표 1] 및 [그림 1]과 같습니다.</w:t>
      </w:r>
    </w:p>
    <w:p w14:paraId="6CEB9ABF">
      <w:pPr>
        <w:spacing w:after="120" w:line="324" w:lineRule="auto"/>
        <w:jc w:val="left"/>
      </w:pPr>
      <w:r>
        <w:rPr>
          <w:rFonts w:ascii="Cambria" w:hAnsi="Cambria" w:eastAsia="ＭＳ 明朝" w:cs="Cambria" w:asciiTheme="minorHAnsi" w:hAnsiTheme="minorHAnsi" w:eastAsiaTheme="minorEastAsia" w:csTheme="minorBidi"/>
          <w:b/>
          <w:bCs/>
          <w:color w:val="2B4C7E"/>
          <w:sz w:val="19"/>
          <w:szCs w:val="22"/>
        </w:rPr>
        <w:t>[표 1] 주요 시점별 대한민국 인구 변화 추이 및 2030년 예측치 비교</w:t>
      </w:r>
    </w:p>
    <w:tbl>
      <w:tblPr>
        <w:tblW w:w="0" w:type="auto"/>
        <w:jc w:val="center"/>
        <w:tblBorders>
          <w:top w:val="single" w:sz="6" w:space="0" w:color="2B4C7E"/>
          <w:left w:val="none"/>
          <w:bottom w:val="single" w:sz="6" w:space="0" w:color="2B4C7E"/>
          <w:right w:val="none"/>
          <w:insideH w:val="single" w:sz="4" w:space="0" w:color="D3D3D3"/>
          <w:insideV w:val="none"/>
        </w:tblBorders>
        <w:tblCellMar>
          <w:top w:w="0" w:type="dxa"/>
          <w:left w:w="108" w:type="dxa"/>
          <w:bottom w:w="0" w:type="dxa"/>
          <w:right w:w="108" w:type="dxa"/>
        </w:tblCellMar>
        <w:tblLook w:firstRow="1" w:firstColumn="1" w:noVBand="1"/>
      </w:tblPr>
      <w:tblGrid>
        <w:gridCol w:w="1440"/>
        <w:gridCol w:w="1440"/>
        <w:gridCol w:w="1440"/>
        <w:gridCol w:w="1440"/>
        <w:gridCol w:w="1440"/>
        <w:gridCol w:w="1440"/>
      </w:tblGrid>
      <w:tr>
        <w:tc>
          <w:tcPr>
            <w:tcW w:w="1296"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0A17D024">
            <w:pPr>
              <w:jc w:val="center"/>
            </w:pPr>
            <w:r>
              <w:rPr>
                <w:rFonts w:ascii="Cambria" w:hAnsi="Cambria" w:eastAsia="ＭＳ 明朝" w:cs="Cambria" w:asciiTheme="minorHAnsi" w:hAnsiTheme="minorHAnsi" w:eastAsiaTheme="minorEastAsia" w:csTheme="minorBidi"/>
                <w:b/>
                <w:bCs/>
                <w:color w:val="FFFFFF"/>
                <w:sz w:val="18"/>
                <w:szCs w:val="22"/>
              </w:rPr>
              <w:t>구분</w:t>
            </w:r>
          </w:p>
        </w:tc>
        <w:tc>
          <w:tcPr>
            <w:tcW w:w="1008"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7C5BCD6E">
            <w:pPr>
              <w:jc w:val="center"/>
            </w:pPr>
            <w:r>
              <w:rPr>
                <w:rFonts w:ascii="Cambria" w:hAnsi="Cambria" w:eastAsia="ＭＳ 明朝" w:cs="Cambria" w:asciiTheme="minorHAnsi" w:hAnsiTheme="minorHAnsi" w:eastAsiaTheme="minorEastAsia" w:csTheme="minorBidi"/>
                <w:b/>
                <w:bCs/>
                <w:color w:val="FFFFFF"/>
                <w:sz w:val="18"/>
                <w:szCs w:val="22"/>
              </w:rPr>
              <w:t>시점</w:t>
            </w:r>
          </w:p>
        </w:tc>
        <w:tc>
          <w:tcPr>
            <w:tcW w:w="1584"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5CFEACE9">
            <w:pPr>
              <w:jc w:val="center"/>
            </w:pPr>
            <w:r>
              <w:rPr>
                <w:rFonts w:ascii="Cambria" w:hAnsi="Cambria" w:eastAsia="ＭＳ 明朝" w:cs="Cambria" w:asciiTheme="minorHAnsi" w:hAnsiTheme="minorHAnsi" w:eastAsiaTheme="minorEastAsia" w:csTheme="minorBidi"/>
                <w:b/>
                <w:bCs/>
                <w:color w:val="FFFFFF"/>
                <w:sz w:val="18"/>
                <w:szCs w:val="22"/>
              </w:rPr>
              <w:t>남성 인구수</w:t>
            </w:r>
          </w:p>
        </w:tc>
        <w:tc>
          <w:tcPr>
            <w:tcW w:w="1584"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67204B30">
            <w:pPr>
              <w:jc w:val="center"/>
            </w:pPr>
            <w:r>
              <w:rPr>
                <w:rFonts w:ascii="Cambria" w:hAnsi="Cambria" w:eastAsia="ＭＳ 明朝" w:cs="Cambria" w:asciiTheme="minorHAnsi" w:hAnsiTheme="minorHAnsi" w:eastAsiaTheme="minorEastAsia" w:csTheme="minorBidi"/>
                <w:b/>
                <w:bCs/>
                <w:color w:val="FFFFFF"/>
                <w:sz w:val="18"/>
                <w:szCs w:val="22"/>
              </w:rPr>
              <w:t>여성 인구수</w:t>
            </w:r>
          </w:p>
        </w:tc>
        <w:tc>
          <w:tcPr>
            <w:tcW w:w="1584"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43232109">
            <w:pPr>
              <w:jc w:val="center"/>
            </w:pPr>
            <w:r>
              <w:rPr>
                <w:rFonts w:ascii="Cambria" w:hAnsi="Cambria" w:eastAsia="ＭＳ 明朝" w:cs="Cambria" w:asciiTheme="minorHAnsi" w:hAnsiTheme="minorHAnsi" w:eastAsiaTheme="minorEastAsia" w:csTheme="minorBidi"/>
                <w:b/>
                <w:bCs/>
                <w:color w:val="FFFFFF"/>
                <w:sz w:val="18"/>
                <w:szCs w:val="22"/>
              </w:rPr>
              <w:t>총 인구수</w:t>
            </w:r>
          </w:p>
        </w:tc>
        <w:tc>
          <w:tcPr>
            <w:tcW w:w="2592" w:type="dxa"/>
            <w:tcBorders>
              <w:top w:val="single" w:sz="6" w:space="0" w:color="2B4C7E"/>
              <w:left w:val="none"/>
              <w:bottom w:val="single" w:sz="4" w:space="0" w:color="D3D3D3"/>
              <w:right w:val="none"/>
            </w:tcBorders>
            <w:shd w:val="clear" w:fill="2B4C7E"/>
            <w:tcMar>
              <w:top w:w="0" w:type="dxa"/>
              <w:left w:w="108" w:type="dxa"/>
              <w:bottom w:w="0" w:type="dxa"/>
              <w:right w:w="108" w:type="dxa"/>
            </w:tcMar>
          </w:tcPr>
          <w:p w14:paraId="419B2EB6">
            <w:pPr>
              <w:jc w:val="center"/>
            </w:pPr>
            <w:r>
              <w:rPr>
                <w:rFonts w:ascii="Cambria" w:hAnsi="Cambria" w:eastAsia="ＭＳ 明朝" w:cs="Cambria" w:asciiTheme="minorHAnsi" w:hAnsiTheme="minorHAnsi" w:eastAsiaTheme="minorEastAsia" w:csTheme="minorBidi"/>
                <w:b/>
                <w:bCs/>
                <w:color w:val="FFFFFF"/>
                <w:sz w:val="18"/>
                <w:szCs w:val="22"/>
              </w:rPr>
              <w:t>주요 특징</w:t>
            </w:r>
          </w:p>
        </w:tc>
      </w:tr>
      <w:tr>
        <w:tc>
          <w:tcPr>
            <w:tcW w:w="1296"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03891444">
            <w:pPr>
              <w:jc w:val="center"/>
            </w:pPr>
            <w:r>
              <w:rPr>
                <w:rFonts w:ascii="Cambria" w:hAnsi="Cambria" w:eastAsia="ＭＳ 明朝" w:cs="Cambria" w:asciiTheme="minorHAnsi" w:hAnsiTheme="minorHAnsi" w:eastAsiaTheme="minorEastAsia" w:csTheme="minorBidi"/>
                <w:sz w:val="17"/>
                <w:szCs w:val="22"/>
              </w:rPr>
              <w:t>분석 시작점</w:t>
            </w:r>
          </w:p>
        </w:tc>
        <w:tc>
          <w:tcPr>
            <w:tcW w:w="1008"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6D7BBF33">
            <w:pPr>
              <w:jc w:val="center"/>
            </w:pPr>
            <w:r>
              <w:rPr>
                <w:rFonts w:ascii="Cambria" w:hAnsi="Cambria" w:eastAsia="ＭＳ 明朝" w:cs="Cambria" w:asciiTheme="minorHAnsi" w:hAnsiTheme="minorHAnsi" w:eastAsiaTheme="minorEastAsia" w:csTheme="minorBidi"/>
                <w:sz w:val="17"/>
                <w:szCs w:val="22"/>
              </w:rPr>
              <w:t>2011.01</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0BC2AED2">
            <w:pPr>
              <w:jc w:val="right"/>
            </w:pPr>
            <w:r>
              <w:rPr>
                <w:rFonts w:ascii="Cambria" w:hAnsi="Cambria" w:eastAsia="ＭＳ 明朝" w:cs="Cambria" w:asciiTheme="minorHAnsi" w:hAnsiTheme="minorHAnsi" w:eastAsiaTheme="minorEastAsia" w:csTheme="minorBidi"/>
                <w:sz w:val="17"/>
                <w:szCs w:val="22"/>
              </w:rPr>
              <w:t>25,318,961명</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1C4D93C8">
            <w:pPr>
              <w:jc w:val="right"/>
            </w:pPr>
            <w:r>
              <w:rPr>
                <w:rFonts w:ascii="Cambria" w:hAnsi="Cambria" w:eastAsia="ＭＳ 明朝" w:cs="Cambria" w:asciiTheme="minorHAnsi" w:hAnsiTheme="minorHAnsi" w:eastAsiaTheme="minorEastAsia" w:csTheme="minorBidi"/>
                <w:sz w:val="17"/>
                <w:szCs w:val="22"/>
              </w:rPr>
              <w:t>25,215,770명</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3DBC1257">
            <w:pPr>
              <w:jc w:val="right"/>
            </w:pPr>
            <w:r>
              <w:rPr>
                <w:rFonts w:ascii="Cambria" w:hAnsi="Cambria" w:eastAsia="ＭＳ 明朝" w:cs="Cambria" w:asciiTheme="minorHAnsi" w:hAnsiTheme="minorHAnsi" w:eastAsiaTheme="minorEastAsia" w:csTheme="minorBidi"/>
                <w:sz w:val="17"/>
                <w:szCs w:val="22"/>
              </w:rPr>
              <w:t>50,534,731명</w:t>
            </w:r>
          </w:p>
        </w:tc>
        <w:tc>
          <w:tcPr>
            <w:tcW w:w="2592"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04DBD912">
            <w:pPr>
              <w:jc w:val="left"/>
            </w:pPr>
            <w:r>
              <w:rPr>
                <w:rFonts w:ascii="Cambria" w:hAnsi="Cambria" w:eastAsia="ＭＳ 明朝" w:cs="Cambria" w:asciiTheme="minorHAnsi" w:hAnsiTheme="minorHAnsi" w:eastAsiaTheme="minorEastAsia" w:csTheme="minorBidi"/>
                <w:sz w:val="17"/>
                <w:szCs w:val="22"/>
              </w:rPr>
              <w:t>분석 기준 시점 (남초 구조)</w:t>
            </w:r>
          </w:p>
        </w:tc>
      </w:tr>
      <w:tr>
        <w:tc>
          <w:tcPr>
            <w:tcW w:w="1296"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21816982">
            <w:pPr>
              <w:jc w:val="center"/>
            </w:pPr>
            <w:r>
              <w:rPr>
                <w:rFonts w:ascii="Cambria" w:hAnsi="Cambria" w:eastAsia="ＭＳ 明朝" w:cs="Cambria" w:asciiTheme="minorHAnsi" w:hAnsiTheme="minorHAnsi" w:eastAsiaTheme="minorEastAsia" w:csTheme="minorBidi"/>
                <w:sz w:val="17"/>
                <w:szCs w:val="22"/>
              </w:rPr>
              <w:t>여초 역전점</w:t>
            </w:r>
          </w:p>
        </w:tc>
        <w:tc>
          <w:tcPr>
            <w:tcW w:w="1008"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542235E0">
            <w:pPr>
              <w:jc w:val="center"/>
            </w:pPr>
            <w:r>
              <w:rPr>
                <w:rFonts w:ascii="Cambria" w:hAnsi="Cambria" w:eastAsia="ＭＳ 明朝" w:cs="Cambria" w:asciiTheme="minorHAnsi" w:hAnsiTheme="minorHAnsi" w:eastAsiaTheme="minorEastAsia" w:csTheme="minorBidi"/>
                <w:sz w:val="17"/>
                <w:szCs w:val="22"/>
              </w:rPr>
              <w:t>2015.06</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70F84944">
            <w:pPr>
              <w:jc w:val="right"/>
            </w:pPr>
            <w:r>
              <w:rPr>
                <w:rFonts w:ascii="Cambria" w:hAnsi="Cambria" w:eastAsia="ＭＳ 明朝" w:cs="Cambria" w:asciiTheme="minorHAnsi" w:hAnsiTheme="minorHAnsi" w:eastAsiaTheme="minorEastAsia" w:csTheme="minorBidi"/>
                <w:sz w:val="17"/>
                <w:szCs w:val="22"/>
              </w:rPr>
              <w:t>25,715,304명</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0C7841D0">
            <w:pPr>
              <w:jc w:val="right"/>
            </w:pPr>
            <w:r>
              <w:rPr>
                <w:rFonts w:ascii="Cambria" w:hAnsi="Cambria" w:eastAsia="ＭＳ 明朝" w:cs="Cambria" w:asciiTheme="minorHAnsi" w:hAnsiTheme="minorHAnsi" w:eastAsiaTheme="minorEastAsia" w:csTheme="minorBidi"/>
                <w:sz w:val="17"/>
                <w:szCs w:val="22"/>
              </w:rPr>
              <w:t>25,715,796명</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76C139F7">
            <w:pPr>
              <w:jc w:val="right"/>
            </w:pPr>
            <w:r>
              <w:rPr>
                <w:rFonts w:ascii="Cambria" w:hAnsi="Cambria" w:eastAsia="ＭＳ 明朝" w:cs="Cambria" w:asciiTheme="minorHAnsi" w:hAnsiTheme="minorHAnsi" w:eastAsiaTheme="minorEastAsia" w:csTheme="minorBidi"/>
                <w:sz w:val="17"/>
                <w:szCs w:val="22"/>
              </w:rPr>
              <w:t>51,431,100명</w:t>
            </w:r>
          </w:p>
        </w:tc>
        <w:tc>
          <w:tcPr>
            <w:tcW w:w="2592"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0EC3E400">
            <w:pPr>
              <w:jc w:val="left"/>
            </w:pPr>
            <w:r>
              <w:rPr>
                <w:rFonts w:ascii="Cambria" w:hAnsi="Cambria" w:eastAsia="ＭＳ 明朝" w:cs="Cambria" w:asciiTheme="minorHAnsi" w:hAnsiTheme="minorHAnsi" w:eastAsiaTheme="minorEastAsia" w:csTheme="minorBidi"/>
                <w:sz w:val="17"/>
                <w:szCs w:val="22"/>
              </w:rPr>
              <w:t>사상 최초 여성 인구 추월</w:t>
            </w:r>
          </w:p>
        </w:tc>
      </w:tr>
      <w:tr>
        <w:tc>
          <w:tcPr>
            <w:tcW w:w="1296"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189DB038">
            <w:pPr>
              <w:jc w:val="center"/>
            </w:pPr>
            <w:r>
              <w:rPr>
                <w:rFonts w:ascii="Cambria" w:hAnsi="Cambria" w:eastAsia="ＭＳ 明朝" w:cs="Cambria" w:asciiTheme="minorHAnsi" w:hAnsiTheme="minorHAnsi" w:eastAsiaTheme="minorEastAsia" w:csTheme="minorBidi"/>
                <w:sz w:val="17"/>
                <w:szCs w:val="22"/>
              </w:rPr>
              <w:t>총인구 정점</w:t>
            </w:r>
          </w:p>
        </w:tc>
        <w:tc>
          <w:tcPr>
            <w:tcW w:w="1008"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0A7272B4">
            <w:pPr>
              <w:jc w:val="center"/>
            </w:pPr>
            <w:r>
              <w:rPr>
                <w:rFonts w:ascii="Cambria" w:hAnsi="Cambria" w:eastAsia="ＭＳ 明朝" w:cs="Cambria" w:asciiTheme="minorHAnsi" w:hAnsiTheme="minorHAnsi" w:eastAsiaTheme="minorEastAsia" w:csTheme="minorBidi"/>
                <w:sz w:val="17"/>
                <w:szCs w:val="22"/>
              </w:rPr>
              <w:t>2019.11</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6ABB5975">
            <w:pPr>
              <w:jc w:val="right"/>
            </w:pPr>
            <w:r>
              <w:rPr>
                <w:rFonts w:ascii="Cambria" w:hAnsi="Cambria" w:eastAsia="ＭＳ 明朝" w:cs="Cambria" w:asciiTheme="minorHAnsi" w:hAnsiTheme="minorHAnsi" w:eastAsiaTheme="minorEastAsia" w:csTheme="minorBidi"/>
                <w:sz w:val="17"/>
                <w:szCs w:val="22"/>
              </w:rPr>
              <w:t>25,866,604명</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16459D44">
            <w:pPr>
              <w:jc w:val="right"/>
            </w:pPr>
            <w:r>
              <w:rPr>
                <w:rFonts w:ascii="Cambria" w:hAnsi="Cambria" w:eastAsia="ＭＳ 明朝" w:cs="Cambria" w:asciiTheme="minorHAnsi" w:hAnsiTheme="minorHAnsi" w:eastAsiaTheme="minorEastAsia" w:csTheme="minorBidi"/>
                <w:sz w:val="17"/>
                <w:szCs w:val="22"/>
              </w:rPr>
              <w:t>25,984,823명</w:t>
            </w:r>
          </w:p>
        </w:tc>
        <w:tc>
          <w:tcPr>
            <w:tcW w:w="1584"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64C96B31">
            <w:pPr>
              <w:jc w:val="right"/>
            </w:pPr>
            <w:r>
              <w:rPr>
                <w:rFonts w:ascii="Cambria" w:hAnsi="Cambria" w:eastAsia="ＭＳ 明朝" w:cs="Cambria" w:asciiTheme="minorHAnsi" w:hAnsiTheme="minorHAnsi" w:eastAsiaTheme="minorEastAsia" w:csTheme="minorBidi"/>
                <w:sz w:val="17"/>
                <w:szCs w:val="22"/>
              </w:rPr>
              <w:t>51,851,427명</w:t>
            </w:r>
          </w:p>
        </w:tc>
        <w:tc>
          <w:tcPr>
            <w:tcW w:w="2592" w:type="dxa"/>
            <w:tcBorders>
              <w:top w:val="single" w:sz="4" w:space="0" w:color="D3D3D3"/>
              <w:left w:val="none"/>
              <w:bottom w:val="single" w:sz="4" w:space="0" w:color="D3D3D3"/>
              <w:right w:val="none"/>
            </w:tcBorders>
            <w:shd w:val="clear" w:fill="F2F4F8"/>
            <w:tcMar>
              <w:top w:w="0" w:type="dxa"/>
              <w:left w:w="108" w:type="dxa"/>
              <w:bottom w:w="0" w:type="dxa"/>
              <w:right w:w="108" w:type="dxa"/>
            </w:tcMar>
          </w:tcPr>
          <w:p w14:paraId="6B54B8DC">
            <w:pPr>
              <w:jc w:val="left"/>
            </w:pPr>
            <w:r>
              <w:rPr>
                <w:rFonts w:ascii="Cambria" w:hAnsi="Cambria" w:eastAsia="ＭＳ 明朝" w:cs="Cambria" w:asciiTheme="minorHAnsi" w:hAnsiTheme="minorHAnsi" w:eastAsiaTheme="minorEastAsia" w:csTheme="minorBidi"/>
                <w:sz w:val="17"/>
                <w:szCs w:val="22"/>
              </w:rPr>
              <w:t>역대 최대 인구 기록 후 감소 전환</w:t>
            </w:r>
          </w:p>
        </w:tc>
      </w:tr>
      <w:tr>
        <w:tc>
          <w:tcPr>
            <w:tcW w:w="1296"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2CF6E175">
            <w:pPr>
              <w:jc w:val="center"/>
            </w:pPr>
            <w:r>
              <w:rPr>
                <w:rFonts w:ascii="Cambria" w:hAnsi="Cambria" w:eastAsia="ＭＳ 明朝" w:cs="Cambria" w:asciiTheme="minorHAnsi" w:hAnsiTheme="minorHAnsi" w:eastAsiaTheme="minorEastAsia" w:csTheme="minorBidi"/>
                <w:sz w:val="17"/>
                <w:szCs w:val="22"/>
              </w:rPr>
              <w:t>최근 시점</w:t>
            </w:r>
          </w:p>
        </w:tc>
        <w:tc>
          <w:tcPr>
            <w:tcW w:w="1008"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30C78950">
            <w:pPr>
              <w:jc w:val="center"/>
            </w:pPr>
            <w:r>
              <w:rPr>
                <w:rFonts w:ascii="Cambria" w:hAnsi="Cambria" w:eastAsia="ＭＳ 明朝" w:cs="Cambria" w:asciiTheme="minorHAnsi" w:hAnsiTheme="minorHAnsi" w:eastAsiaTheme="minorEastAsia" w:csTheme="minorBidi"/>
                <w:sz w:val="17"/>
                <w:szCs w:val="22"/>
              </w:rPr>
              <w:t>2026.06</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3F131845">
            <w:pPr>
              <w:jc w:val="right"/>
            </w:pPr>
            <w:r>
              <w:rPr>
                <w:rFonts w:ascii="Cambria" w:hAnsi="Cambria" w:eastAsia="ＭＳ 明朝" w:cs="Cambria" w:asciiTheme="minorHAnsi" w:hAnsiTheme="minorHAnsi" w:eastAsiaTheme="minorEastAsia" w:csTheme="minorBidi"/>
                <w:sz w:val="17"/>
                <w:szCs w:val="22"/>
              </w:rPr>
              <w:t>25,418,248명</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63C75FD5">
            <w:pPr>
              <w:jc w:val="right"/>
            </w:pPr>
            <w:r>
              <w:rPr>
                <w:rFonts w:ascii="Cambria" w:hAnsi="Cambria" w:eastAsia="ＭＳ 明朝" w:cs="Cambria" w:asciiTheme="minorHAnsi" w:hAnsiTheme="minorHAnsi" w:eastAsiaTheme="minorEastAsia" w:csTheme="minorBidi"/>
                <w:sz w:val="17"/>
                <w:szCs w:val="22"/>
              </w:rPr>
              <w:t>25,673,521명</w:t>
            </w:r>
          </w:p>
        </w:tc>
        <w:tc>
          <w:tcPr>
            <w:tcW w:w="1584"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47DDCF8B">
            <w:pPr>
              <w:jc w:val="right"/>
            </w:pPr>
            <w:r>
              <w:rPr>
                <w:rFonts w:ascii="Cambria" w:hAnsi="Cambria" w:eastAsia="ＭＳ 明朝" w:cs="Cambria" w:asciiTheme="minorHAnsi" w:hAnsiTheme="minorHAnsi" w:eastAsiaTheme="minorEastAsia" w:csTheme="minorBidi"/>
                <w:sz w:val="17"/>
                <w:szCs w:val="22"/>
              </w:rPr>
              <w:t>51,091,769명</w:t>
            </w:r>
          </w:p>
        </w:tc>
        <w:tc>
          <w:tcPr>
            <w:tcW w:w="2592" w:type="dxa"/>
            <w:tcBorders>
              <w:top w:val="single" w:sz="4" w:space="0" w:color="D3D3D3"/>
              <w:left w:val="none"/>
              <w:bottom w:val="single" w:sz="4" w:space="0" w:color="D3D3D3"/>
              <w:right w:val="none"/>
            </w:tcBorders>
            <w:shd w:val="clear" w:fill="FFFFFF"/>
            <w:tcMar>
              <w:top w:w="0" w:type="dxa"/>
              <w:left w:w="108" w:type="dxa"/>
              <w:bottom w:w="0" w:type="dxa"/>
              <w:right w:w="108" w:type="dxa"/>
            </w:tcMar>
          </w:tcPr>
          <w:p w14:paraId="073A5D1F">
            <w:pPr>
              <w:jc w:val="left"/>
            </w:pPr>
            <w:r>
              <w:rPr>
                <w:rFonts w:ascii="Cambria" w:hAnsi="Cambria" w:eastAsia="ＭＳ 明朝" w:cs="Cambria" w:asciiTheme="minorHAnsi" w:hAnsiTheme="minorHAnsi" w:eastAsiaTheme="minorEastAsia" w:csTheme="minorBidi"/>
                <w:sz w:val="17"/>
                <w:szCs w:val="22"/>
              </w:rPr>
              <w:t>자연감소 지속 (정점 대비 -76만)</w:t>
            </w:r>
          </w:p>
        </w:tc>
      </w:tr>
      <w:tr>
        <w:tc>
          <w:tcPr>
            <w:tcW w:w="1296"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795158BD">
            <w:pPr>
              <w:jc w:val="center"/>
            </w:pPr>
            <w:r>
              <w:rPr>
                <w:rFonts w:ascii="Cambria" w:hAnsi="Cambria" w:eastAsia="ＭＳ 明朝" w:cs="Cambria" w:asciiTheme="minorHAnsi" w:hAnsiTheme="minorHAnsi" w:eastAsiaTheme="minorEastAsia" w:csTheme="minorBidi"/>
                <w:b/>
                <w:bCs/>
                <w:sz w:val="17"/>
                <w:szCs w:val="22"/>
              </w:rPr>
              <w:t>2030 예측</w:t>
            </w:r>
          </w:p>
        </w:tc>
        <w:tc>
          <w:tcPr>
            <w:tcW w:w="1008"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627E4F13">
            <w:pPr>
              <w:jc w:val="center"/>
            </w:pPr>
            <w:r>
              <w:rPr>
                <w:rFonts w:ascii="Cambria" w:hAnsi="Cambria" w:eastAsia="ＭＳ 明朝" w:cs="Cambria" w:asciiTheme="minorHAnsi" w:hAnsiTheme="minorHAnsi" w:eastAsiaTheme="minorEastAsia" w:csTheme="minorBidi"/>
                <w:b/>
                <w:bCs/>
                <w:sz w:val="17"/>
                <w:szCs w:val="22"/>
              </w:rPr>
              <w:t>2030.01</w:t>
            </w:r>
          </w:p>
        </w:tc>
        <w:tc>
          <w:tcPr>
            <w:tcW w:w="1584"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08E09A06">
            <w:pPr>
              <w:jc w:val="right"/>
            </w:pPr>
            <w:r>
              <w:rPr>
                <w:rFonts w:ascii="Cambria" w:hAnsi="Cambria" w:eastAsia="ＭＳ 明朝" w:cs="Cambria" w:asciiTheme="minorHAnsi" w:hAnsiTheme="minorHAnsi" w:eastAsiaTheme="minorEastAsia" w:csTheme="minorBidi"/>
                <w:b/>
                <w:bCs/>
                <w:sz w:val="17"/>
                <w:szCs w:val="22"/>
              </w:rPr>
              <w:t>24,657,516명</w:t>
            </w:r>
          </w:p>
        </w:tc>
        <w:tc>
          <w:tcPr>
            <w:tcW w:w="1584"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2CA1FEE5">
            <w:pPr>
              <w:jc w:val="right"/>
            </w:pPr>
            <w:r>
              <w:rPr>
                <w:rFonts w:ascii="Cambria" w:hAnsi="Cambria" w:eastAsia="ＭＳ 明朝" w:cs="Cambria" w:asciiTheme="minorHAnsi" w:hAnsiTheme="minorHAnsi" w:eastAsiaTheme="minorEastAsia" w:csTheme="minorBidi"/>
                <w:b/>
                <w:bCs/>
                <w:sz w:val="17"/>
                <w:szCs w:val="22"/>
              </w:rPr>
              <w:t>24,979,259명</w:t>
            </w:r>
          </w:p>
        </w:tc>
        <w:tc>
          <w:tcPr>
            <w:tcW w:w="1584"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677D7BF9">
            <w:pPr>
              <w:jc w:val="right"/>
            </w:pPr>
            <w:r>
              <w:rPr>
                <w:rFonts w:ascii="Cambria" w:hAnsi="Cambria" w:eastAsia="ＭＳ 明朝" w:cs="Cambria" w:asciiTheme="minorHAnsi" w:hAnsiTheme="minorHAnsi" w:eastAsiaTheme="minorEastAsia" w:csTheme="minorBidi"/>
                <w:b/>
                <w:bCs/>
                <w:sz w:val="17"/>
                <w:szCs w:val="22"/>
              </w:rPr>
              <w:t>49,636,775명</w:t>
            </w:r>
          </w:p>
        </w:tc>
        <w:tc>
          <w:tcPr>
            <w:tcW w:w="2592" w:type="dxa"/>
            <w:tcBorders>
              <w:top w:val="single" w:sz="4" w:space="0" w:color="D3D3D3"/>
              <w:left w:val="none"/>
              <w:bottom w:val="single" w:sz="6" w:space="0" w:color="2B4C7E"/>
              <w:right w:val="none"/>
            </w:tcBorders>
            <w:shd w:val="clear" w:fill="FFF2E6"/>
            <w:tcMar>
              <w:top w:w="0" w:type="dxa"/>
              <w:left w:w="108" w:type="dxa"/>
              <w:bottom w:w="0" w:type="dxa"/>
              <w:right w:w="108" w:type="dxa"/>
            </w:tcMar>
          </w:tcPr>
          <w:p w14:paraId="3815A5FD">
            <w:pPr>
              <w:jc w:val="left"/>
            </w:pPr>
            <w:r>
              <w:rPr>
                <w:rFonts w:ascii="Cambria" w:hAnsi="Cambria" w:eastAsia="ＭＳ 明朝" w:cs="Cambria" w:asciiTheme="minorHAnsi" w:hAnsiTheme="minorHAnsi" w:eastAsiaTheme="minorEastAsia" w:csTheme="minorBidi"/>
                <w:b/>
                <w:bCs/>
                <w:sz w:val="17"/>
                <w:szCs w:val="22"/>
              </w:rPr>
              <w:t>5천만 명선 붕괴 (정점 대비 -221만)</w:t>
            </w:r>
          </w:p>
        </w:tc>
      </w:tr>
    </w:tbl>
    <w:p w14:paraId="6D0E4BA9">
      <w:pPr>
        <w:spacing w:after="120" w:line="324" w:lineRule="auto"/>
        <w:jc w:val="center"/>
      </w:pPr>
      <w:r>
        <w:drawing>
          <wp:inline distT="0" distB="0" distL="0" distR="0">
            <wp:extent cx="5486400" cy="34099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486400" cy="3409950"/>
                    </a:xfrm>
                    <a:prstGeom prst="rect">
                      <a:avLst/>
                    </a:prstGeom>
                  </pic:spPr>
                </pic:pic>
              </a:graphicData>
            </a:graphic>
          </wp:inline>
        </w:drawing>
      </w:r>
    </w:p>
    <w:p w14:paraId="538CB957">
      <w:pPr>
        <w:spacing w:after="120" w:line="324" w:lineRule="auto"/>
        <w:jc w:val="center"/>
      </w:pPr>
      <w:r>
        <w:rPr>
          <w:rFonts w:ascii="Cambria" w:hAnsi="Cambria" w:eastAsia="ＭＳ 明朝" w:cs="Cambria" w:asciiTheme="minorHAnsi" w:hAnsiTheme="minorHAnsi" w:eastAsiaTheme="minorEastAsia" w:csTheme="minorBidi"/>
          <w:i/>
          <w:iCs/>
          <w:color w:val="595959"/>
          <w:sz w:val="18"/>
          <w:szCs w:val="22"/>
        </w:rPr>
        <w:t>&lt;그림 1&gt; 대한민국 남녀 인구수 변화 추이 및 2030년 다항 회귀 예측 그래프</w:t>
      </w:r>
    </w:p>
    <w:p w14:paraId="7DB9FCE7">
      <w:pPr>
        <w:pStyle w:val="Heading1"/>
        <w:spacing w:before="240" w:after="120"/>
      </w:pPr>
      <w:r>
        <w:rPr>
          <w:rFonts w:ascii="Calibri" w:hAnsi="Calibri" w:eastAsia="ＭＳ ゴシック" w:cs="Calibri" w:asciiTheme="majorHAnsi" w:hAnsiTheme="majorHAnsi" w:eastAsiaTheme="majorEastAsia"/>
          <w:b/>
          <w:bCs/>
          <w:color w:val="1F3864"/>
          <w:sz w:val="28"/>
          <w:szCs w:val="28"/>
        </w:rPr>
        <w:t>4. 현상 분석 (인구 변화의 원인)</w:t>
      </w:r>
    </w:p>
    <w:p w14:paraId="1AA4DE50">
      <w:pPr>
        <w:spacing w:after="120" w:line="324" w:lineRule="auto"/>
      </w:pPr>
      <w:r>
        <w:rPr>
          <w:rFonts w:ascii="Cambria" w:hAnsi="Cambria" w:eastAsia="ＭＳ 明朝" w:cs="Cambria" w:asciiTheme="minorHAnsi" w:hAnsiTheme="minorHAnsi" w:eastAsiaTheme="minorEastAsia" w:csTheme="minorBidi"/>
          <w:sz w:val="22"/>
          <w:szCs w:val="22"/>
        </w:rPr>
        <w:t>데이터에서 나타난 첫 번째 주목할 변화는 여성 인구가 남성 인구를 추월한 이른바 '여초 현상'의 고착화입니다. 과거 한국 사회는 뿌리 깊은 남아선호사상으로 인해 출생 성비 불균형(여아 100명당 남아 110명 이상)이 심각했으나, 성평등 인식 확산과 가치관 변화로 자연 성비 수준을 회복했습니다. 여기에 결정적으로 작용한 것은 가속화된 고령화입니다. 데이터베이스를 세부 분석한 결과, 2015년 6월(남성 2,571만 5,304명, 여성 2,571만 5,796명)을 기점으로 대한민국 정부 수립 이래 최초로 여성 인구가 남성을 앞질렀습니다. 여성의 평균 기대수명이 남성보다 약 6년가량 길기 때문에, 65세 이상 및 80세 이상 초고령 인구에서 여성이 차지하는 비중이 압도적으로 높아지며 전체 인구 구조의 성비를 여초로 이끌었습니다.</w:t>
      </w:r>
    </w:p>
    <w:p w14:paraId="33406451">
      <w:pPr>
        <w:spacing w:after="120" w:line="324" w:lineRule="auto"/>
      </w:pPr>
      <w:r>
        <w:rPr>
          <w:rFonts w:ascii="Cambria" w:hAnsi="Cambria" w:eastAsia="ＭＳ 明朝" w:cs="Cambria" w:asciiTheme="minorHAnsi" w:hAnsiTheme="minorHAnsi" w:eastAsiaTheme="minorEastAsia" w:csTheme="minorBidi"/>
          <w:sz w:val="22"/>
          <w:szCs w:val="22"/>
        </w:rPr>
        <w:t>두 번째 핵심 현상은 2019년 말 정점(5,185만 명)을 기록한 이후 시작된 '총인구의 가파른 자연 감소'입니다. 사망자 수가 출생아 수를 넘어서는 인구 데드크로스가 현실화된 근본 원인은 청년층의 초저출산 현상에 있습니다. 청년 세대가 체감하는 수도권의 높은 주거비 장벽, 양질의 일자리 부족과 노동 시장의 양극화, 치열한 사교육비 부담은 결혼과 출산에 대한 심리적·경제적 진입장벽을 극도로 높였습니다. 이는 단순한 개인의 가치관 변화라기보다, 미래에 대한 불안정성이 청년 세대로 하여금 출산을 유예하거나 단념하게 만든 구조적 결과입니다.</w:t>
      </w:r>
    </w:p>
    <w:p w14:paraId="60C0AE20">
      <w:pPr>
        <w:pStyle w:val="Heading1"/>
        <w:spacing w:before="240" w:after="120"/>
      </w:pPr>
      <w:r>
        <w:rPr>
          <w:rFonts w:ascii="Calibri" w:hAnsi="Calibri" w:eastAsia="ＭＳ ゴシック" w:cs="Calibri" w:asciiTheme="majorHAnsi" w:hAnsiTheme="majorHAnsi" w:eastAsiaTheme="majorEastAsia"/>
          <w:b/>
          <w:bCs/>
          <w:color w:val="1F3864"/>
          <w:sz w:val="28"/>
          <w:szCs w:val="28"/>
        </w:rPr>
        <w:t>5. 결과에 따른 사회적 문제점</w:t>
      </w:r>
    </w:p>
    <w:p w14:paraId="50B71C78">
      <w:pPr>
        <w:spacing w:after="120" w:line="324" w:lineRule="auto"/>
      </w:pPr>
      <w:r>
        <w:rPr>
          <w:rFonts w:ascii="Cambria" w:hAnsi="Cambria" w:eastAsia="ＭＳ 明朝" w:cs="Cambria" w:asciiTheme="minorHAnsi" w:hAnsiTheme="minorHAnsi" w:eastAsiaTheme="minorEastAsia" w:csTheme="minorBidi"/>
          <w:sz w:val="22"/>
          <w:szCs w:val="22"/>
        </w:rPr>
        <w:t>가장 직접적이고 파괴적인 문제는 생산연령인구(15~64세)의 급감과 노년부양비의 급증입니다. 경제 활동에 참여하여 부가가치를 창출하고 세금을 납부할 주체는 줄어드는 반면, 의료와 연금 등 사회적 돌봄이 필요한 고령 인구는 가파르게 늘어납니다. 이는 일하는 청장년층의 조세 및 사회보험료 부담을 눈덩이처럼 불려 세대 간 심각한 갈등을 초래하며, 장기적으로는 국민연금 및 건강보험 제도의 재정 건전성을 위협합니다.</w:t>
      </w:r>
    </w:p>
    <w:p w14:paraId="0E8DADC5">
      <w:pPr>
        <w:spacing w:after="120" w:line="324" w:lineRule="auto"/>
      </w:pPr>
      <w:r>
        <w:rPr>
          <w:rFonts w:ascii="Cambria" w:hAnsi="Cambria" w:eastAsia="ＭＳ 明朝" w:cs="Cambria" w:asciiTheme="minorHAnsi" w:hAnsiTheme="minorHAnsi" w:eastAsiaTheme="minorEastAsia" w:csTheme="minorBidi"/>
          <w:sz w:val="22"/>
          <w:szCs w:val="22"/>
        </w:rPr>
        <w:t>국토의 공간적 차원에서는 '지방소멸'의 위기가 현실로 다가오고 있습니다. 인구 감소 충격은 전국에 균등하게 발생하지 않고 비수도권 지역에 집중되고 있습니다. 청년 인구가 일자리와 인프라를 찾아 수도권으로 지속적으로 유출되면서, 지방 도시들은 학령인구 급감으로 초·중·고교 및 지방대학이 폐교 위기에 처하고, 산부인과·응급실 등 필수 의료와 대중교통망이 붕괴되는 악순환에 빠져들고 있습니다.</w:t>
      </w:r>
    </w:p>
    <w:p w14:paraId="7EE2A3AA">
      <w:pPr>
        <w:spacing w:after="120" w:line="324" w:lineRule="auto"/>
      </w:pPr>
      <w:r>
        <w:rPr>
          <w:rFonts w:ascii="Cambria" w:hAnsi="Cambria" w:eastAsia="ＭＳ 明朝" w:cs="Cambria" w:asciiTheme="minorHAnsi" w:hAnsiTheme="minorHAnsi" w:eastAsiaTheme="minorEastAsia" w:csTheme="minorBidi"/>
          <w:sz w:val="22"/>
          <w:szCs w:val="22"/>
        </w:rPr>
        <w:t>거시경제와 국가 안보 측면에서도 복합적인 타격이 예상됩니다. 생산가능인구의 축소와 소비 심리 위축은 내수 시장을 정체시켜 국가 잠재성장률을 지속적으로 하락시킵니다. 나아가 군 입대 대상인 20대 남성 인구의 가파른 감소는 상비 병력 유지에 차질을 빚어 국방 안보 체계 전반의 근본적인 재편을 요구하는 중대한 안보 과제로 직결됩니다.</w:t>
      </w:r>
    </w:p>
    <w:p w14:paraId="6D863D5B">
      <w:pPr>
        <w:pStyle w:val="Heading1"/>
        <w:spacing w:before="240" w:after="120"/>
      </w:pPr>
      <w:r>
        <w:rPr>
          <w:rFonts w:ascii="Calibri" w:hAnsi="Calibri" w:eastAsia="ＭＳ ゴシック" w:cs="Calibri" w:asciiTheme="majorHAnsi" w:hAnsiTheme="majorHAnsi" w:eastAsiaTheme="majorEastAsia"/>
          <w:b/>
          <w:bCs/>
          <w:color w:val="1F3864"/>
          <w:sz w:val="28"/>
          <w:szCs w:val="28"/>
        </w:rPr>
        <w:t>6. 문제점에 대한 해결책</w:t>
      </w:r>
    </w:p>
    <w:p w14:paraId="0B631DAA">
      <w:pPr>
        <w:spacing w:after="120" w:line="324" w:lineRule="auto"/>
      </w:pPr>
      <w:r>
        <w:rPr>
          <w:rFonts w:ascii="Cambria" w:hAnsi="Cambria" w:eastAsia="ＭＳ 明朝" w:cs="Cambria" w:asciiTheme="minorHAnsi" w:hAnsiTheme="minorHAnsi" w:eastAsiaTheme="minorEastAsia" w:csTheme="minorBidi"/>
          <w:sz w:val="22"/>
          <w:szCs w:val="22"/>
        </w:rPr>
        <w:t>청년층의 실질적인 주거 안정과 일·가정 양립 문화의 조성이 선행되어야 합니다. 일회성 출산장려금 지급 위주의 정책에서 탈피하여 청년 및 신혼부부를 위한 장기 공공임대주택 공급과 저금리 전세 대출 등 체감도 높은 주거 지원책을 마련해야 합니다. 또한 남녀 모두가 직장에서 눈치 보지 않고 육아휴직을 사용하는 문화를 정착시키고, 유연근무제와 시차출퇴근제를 확대하여 일과 가정이 조화를 이룰 수 있는 실질적인 고용 환경을 뒷받침해야 합니다.</w:t>
      </w:r>
    </w:p>
    <w:p w14:paraId="5E8934E2">
      <w:pPr>
        <w:spacing w:after="120" w:line="324" w:lineRule="auto"/>
      </w:pPr>
      <w:r>
        <w:rPr>
          <w:rFonts w:ascii="Cambria" w:hAnsi="Cambria" w:eastAsia="ＭＳ 明朝" w:cs="Cambria" w:asciiTheme="minorHAnsi" w:hAnsiTheme="minorHAnsi" w:eastAsiaTheme="minorEastAsia" w:csTheme="minorBidi"/>
          <w:sz w:val="22"/>
          <w:szCs w:val="22"/>
        </w:rPr>
        <w:t>수도권 과밀을 완화하고 지역 균형 발전을 이루는 공간 전략이 요구됩니다. 청년들이 수도권으로 몰리지 않더라도 삶의 질을 누릴 수 있도록 비수도권 거점 지역에 혁신 산업 클러스터와 공공기관을 연계한 양질의 일자리를 확충해야 합니다. 지역 교육 여건과 필수 의료 체계를 촘촘히 보강하여 지방에서도 안심하고 아이를 키울 수 있는 정주 환경을 조성해야 합니다.</w:t>
      </w:r>
    </w:p>
    <w:p w14:paraId="7DFD59B8">
      <w:pPr>
        <w:spacing w:after="120" w:line="324" w:lineRule="auto"/>
      </w:pPr>
      <w:r>
        <w:rPr>
          <w:rFonts w:ascii="Cambria" w:hAnsi="Cambria" w:eastAsia="ＭＳ 明朝" w:cs="Cambria" w:asciiTheme="minorHAnsi" w:hAnsiTheme="minorHAnsi" w:eastAsiaTheme="minorEastAsia" w:csTheme="minorBidi"/>
          <w:sz w:val="22"/>
          <w:szCs w:val="22"/>
        </w:rPr>
        <w:t>초고령사회로의 진입에 발맞추어 정년 연장과 세대 상생형 계속고용 제도를 도입해야 합니다. 노동 현장에서 숙련된 기술을 가진 고령 인력이 계속 일할 수 있도록 직무급 중심의 임금체계 개편과 연계한 유연한 계속고용 모델을 마련해야 합니다. 이는 생산연령인구 부족 충격을 완화함과 동시에 청년 일자리와의 충돌을 방지하며, 국민연금의 재정적 지속가능성을 높이는 중요한 완충 장치가 될 것입니다.</w:t>
      </w:r>
    </w:p>
    <w:p w14:paraId="29A26919">
      <w:pPr>
        <w:spacing w:after="120" w:line="324" w:lineRule="auto"/>
      </w:pPr>
      <w:r>
        <w:rPr>
          <w:rFonts w:ascii="Cambria" w:hAnsi="Cambria" w:eastAsia="ＭＳ 明朝" w:cs="Cambria" w:asciiTheme="minorHAnsi" w:hAnsiTheme="minorHAnsi" w:eastAsiaTheme="minorEastAsia" w:csTheme="minorBidi"/>
          <w:sz w:val="22"/>
          <w:szCs w:val="22"/>
        </w:rPr>
        <w:t>개방적이고 체계적인 이민 정책을 수립하여 중장기적인 인구 보완책을 마련해야 합니다. 단순 노무 인력 수급에 머무르지 않고, 첨단 산업 전문 인재와 숙련 기능 인력을 적극 유치할 수 있도록 비자 제도를 혁신해야 합니다. 나아가 유입된 외국인 주민들이 한국 사회의 당당한 구성원으로 뿌리내릴 수 있도록 한국어 교육, 다문화 가정 지원, 지역 사회 통합 프로그램을 체계적으로 확충해야 합니다.</w:t>
      </w:r>
    </w:p>
    <w:p w14:paraId="04A9D686">
      <w:pPr>
        <w:pStyle w:val="Heading1"/>
        <w:spacing w:before="240" w:after="120"/>
      </w:pPr>
      <w:r>
        <w:rPr>
          <w:rFonts w:ascii="Calibri" w:hAnsi="Calibri" w:eastAsia="ＭＳ ゴシック" w:cs="Calibri" w:asciiTheme="majorHAnsi" w:hAnsiTheme="majorHAnsi" w:eastAsiaTheme="majorEastAsia"/>
          <w:b/>
          <w:bCs/>
          <w:color w:val="1F3864"/>
          <w:sz w:val="28"/>
          <w:szCs w:val="28"/>
        </w:rPr>
        <w:t>7. 종합 결론</w:t>
      </w:r>
    </w:p>
    <w:p w14:paraId="4A8A6D63">
      <w:pPr>
        <w:spacing w:after="120" w:line="324" w:lineRule="auto"/>
      </w:pPr>
      <w:r>
        <w:rPr>
          <w:rFonts w:ascii="Cambria" w:hAnsi="Cambria" w:eastAsia="ＭＳ 明朝" w:cs="Cambria" w:asciiTheme="minorHAnsi" w:hAnsiTheme="minorHAnsi" w:eastAsiaTheme="minorEastAsia" w:csTheme="minorBidi"/>
          <w:sz w:val="22"/>
          <w:szCs w:val="22"/>
        </w:rPr>
        <w:t>통계청의 공공데이터와 파이썬 기반 머신러닝 모델을 활용하여 인구 변화를 분석한 결과, 2030년 대한민국 총인구가 5천만 명 선 아래로 내려앉을 것이라는 구체적인 수치를 확인했습니다. 막연한 우려에 머물던 인구 절벽 현상을 정량적 데이터와 통계적 기법으로 실증해보면서, 사회적 현상을 객관적이고 과학적인 시각으로 조망하는 데이터 기반 탐구의 중요성을 깊이 체감할 수 있었습니다.</w:t>
      </w:r>
    </w:p>
    <w:p w14:paraId="2DE0D887">
      <w:pPr>
        <w:spacing w:after="120" w:line="324" w:lineRule="auto"/>
      </w:pPr>
      <w:r>
        <w:rPr>
          <w:rFonts w:ascii="Cambria" w:hAnsi="Cambria" w:eastAsia="ＭＳ 明朝" w:cs="Cambria" w:asciiTheme="minorHAnsi" w:hAnsiTheme="minorHAnsi" w:eastAsiaTheme="minorEastAsia" w:csTheme="minorBidi"/>
          <w:sz w:val="22"/>
          <w:szCs w:val="22"/>
        </w:rPr>
        <w:t>다만 이번 탐구에 적용한 2차 다항 회귀 모델은 과거 15년간의 인구 변동 궤적을 토대로 미래를 외삽한 것이므로, 급격한 출산율 정책의 변화나 이민 유입, 경제 충격과 같은 복합적인 사회적 변인을 모두 반영하지 못했다는 한계를 지닙니다. 그럼에도 이번 분석이 도출한 2030년의 인구 곡선은 우리 사회에 명확한 경고를 던집니다. 인구 위기는 정해진 종말론적 미래가 아니라, 지금 우리가 청년 세대의 고통에 공감하고 과감한 제도 개혁을 단행할 때 충분히 완화할 수 있는 당면 과제임을 이번 수행평가를 통해 깨달았습니다.</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2030년 대한민국 인구 변화 예측 및 사회적 시사점 분석</dc:title>
  <dc:subject/>
  <dc:creator>학생</dc:creator>
  <cp:keywords/>
  <dc:description>generated by python-docx</dc:description>
  <cp:lastModifiedBy/>
  <cp:revision>1</cp:revision>
  <dcterms:created xsi:type="dcterms:W3CDTF">2013-12-23T23:15:00Z</dcterms:created>
  <dcterms:modified xsi:type="dcterms:W3CDTF">2026-10-29T00:46:12.313Z</dcterms:modified>
  <cp:category/>
</cp:coreProperties>
</file>