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5B48D6"/>
          <w:sz w:val="22"/>
          <w:szCs w:val="22"/>
        </w:rPr>
        <w:t xml:space="preserve">Balcore</w:t>
      </w:r>
    </w:p>
    <w:p>
      <w:pPr>
        <w:spacing w:after="80"/>
      </w:pPr>
      <w:r>
        <w:rPr>
          <w:rFonts w:ascii="Calibri" w:cs="Calibri" w:eastAsia="Calibri" w:hAnsi="Calibri"/>
          <w:b/>
          <w:bCs/>
          <w:color w:val="171630"/>
          <w:sz w:val="38"/>
          <w:szCs w:val="38"/>
        </w:rPr>
        <w:t xml:space="preserve">Deposit from bank: what to build</w:t>
      </w:r>
    </w:p>
    <w:p>
      <w:pPr>
        <w:spacing w:after="240" w:line="276"/>
      </w:pPr>
      <w:r>
        <w:rPr>
          <w:rFonts w:ascii="Calibri" w:cs="Calibri" w:eastAsia="Calibri" w:hAnsi="Calibri"/>
          <w:color w:val="5A5873"/>
          <w:sz w:val="21"/>
          <w:szCs w:val="21"/>
        </w:rPr>
        <w:t xml:space="preserve">A companion to Deposit from any chain. How someone with only a bank account gets money into Balcore, now that sign-in runs on Privy. Checked against Privy, Stripe and Coinbase documentation on 11 September 2026.</w:t>
      </w:r>
    </w:p>
    <w:p>
      <w:pPr>
        <w:pStyle w:val="Heading1"/>
        <w:spacing w:after="110" w:before="300"/>
      </w:pPr>
      <w:r>
        <w:rPr>
          <w:rFonts w:ascii="Calibri" w:cs="Calibri" w:eastAsia="Calibri" w:hAnsi="Calibri"/>
          <w:b/>
          <w:bCs/>
          <w:color w:val="171630"/>
          <w:sz w:val="28"/>
          <w:szCs w:val="28"/>
        </w:rPr>
        <w:t xml:space="preserve">The goal</w:t>
      </w:r>
    </w:p>
    <w:p>
      <w:pPr>
        <w:spacing w:after="120" w:line="276"/>
      </w:pPr>
      <w:r>
        <w:rPr>
          <w:rFonts w:ascii="Calibri" w:cs="Calibri" w:eastAsia="Calibri" w:hAnsi="Calibri"/>
          <w:sz w:val="21"/>
          <w:szCs w:val="21"/>
        </w:rPr>
        <w:t xml:space="preserve">A person with no crypto signs in with their email, sends money from their bank, and it shows up in Balcore as available USDC: the same Available in Balcore balance the exchange route produces. They never buy gas, never bridge and never paste a wallet address. They then choose how much goes into a pool, with one signature.</w:t>
      </w:r>
    </w:p>
    <w:p>
      <w:pPr>
        <w:spacing w:after="120" w:line="276"/>
      </w:pPr>
      <w:r>
        <w:rPr>
          <w:rFonts w:ascii="Calibri" w:cs="Calibri" w:eastAsia="Calibri" w:hAnsi="Calibri"/>
          <w:b/>
          <w:bCs/>
          <w:sz w:val="21"/>
          <w:szCs w:val="21"/>
        </w:rPr>
        <w:t xml:space="preserve">The rule from the deposit module still holds:</w:t>
      </w:r>
      <w:r>
        <w:rPr>
          <w:rFonts w:ascii="Calibri" w:cs="Calibri" w:eastAsia="Calibri" w:hAnsi="Calibri"/>
          <w:sz w:val="21"/>
          <w:szCs w:val="21"/>
        </w:rPr>
        <w:t xml:space="preserve"> money moves only into the user's pool or back to the user's own wallet, and only with the user's signature.</w:t>
      </w:r>
    </w:p>
    <w:p>
      <w:pPr>
        <w:pStyle w:val="Heading1"/>
        <w:spacing w:after="110" w:before="300"/>
      </w:pPr>
      <w:r>
        <w:rPr>
          <w:rFonts w:ascii="Calibri" w:cs="Calibri" w:eastAsia="Calibri" w:hAnsi="Calibri"/>
          <w:b/>
          <w:bCs/>
          <w:color w:val="171630"/>
          <w:sz w:val="28"/>
          <w:szCs w:val="28"/>
        </w:rPr>
        <w:t xml:space="preserve">Why this works now</w:t>
      </w:r>
    </w:p>
    <w:p>
      <w:pPr>
        <w:spacing w:after="120" w:line="276"/>
      </w:pPr>
      <w:r>
        <w:rPr>
          <w:rFonts w:ascii="Calibri" w:cs="Calibri" w:eastAsia="Calibri" w:hAnsi="Calibri"/>
          <w:sz w:val="21"/>
          <w:szCs w:val="21"/>
        </w:rPr>
        <w:t xml:space="preserve">Three pieces line up. Two of them already exist or are already planned:</w:t>
      </w:r>
    </w:p>
    <w:p>
      <w:pPr>
        <w:pStyle w:val="ListParagraph"/>
        <w:numPr>
          <w:ilvl w:val="0"/>
          <w:numId w:val="2"/>
        </w:numPr>
        <w:spacing w:after="70" w:line="276"/>
      </w:pPr>
      <w:r>
        <w:rPr>
          <w:rFonts w:ascii="Calibri" w:cs="Calibri" w:eastAsia="Calibri" w:hAnsi="Calibri"/>
          <w:b/>
          <w:bCs/>
          <w:sz w:val="21"/>
          <w:szCs w:val="21"/>
        </w:rPr>
        <w:t xml:space="preserve">Every email user already has a wallet.</w:t>
      </w:r>
      <w:r>
        <w:rPr>
          <w:rFonts w:ascii="Calibri" w:cs="Calibri" w:eastAsia="Calibri" w:hAnsi="Calibri"/>
          <w:sz w:val="21"/>
          <w:szCs w:val="21"/>
        </w:rPr>
        <w:t xml:space="preserve"> Privy creates one at sign-in, and it has the same address on every EVM chain. Live in the app since 11 September; email sign-in was tested end to end that day.</w:t>
      </w:r>
    </w:p>
    <w:p>
      <w:pPr>
        <w:pStyle w:val="ListParagraph"/>
        <w:numPr>
          <w:ilvl w:val="0"/>
          <w:numId w:val="2"/>
        </w:numPr>
        <w:spacing w:after="70" w:line="276"/>
      </w:pPr>
      <w:r>
        <w:rPr>
          <w:rFonts w:ascii="Calibri" w:cs="Calibri" w:eastAsia="Calibri" w:hAnsi="Calibri"/>
          <w:b/>
          <w:bCs/>
          <w:sz w:val="21"/>
          <w:szCs w:val="21"/>
        </w:rPr>
        <w:t xml:space="preserve">The deposit module removes gas from the user's side.</w:t>
      </w:r>
      <w:r>
        <w:rPr>
          <w:rFonts w:ascii="Calibri" w:cs="Calibri" w:eastAsia="Calibri" w:hAnsi="Calibri"/>
          <w:sz w:val="21"/>
          <w:szCs w:val="21"/>
        </w:rPr>
        <w:t xml:space="preserve"> The keeper moves and settles funds, and putting money into a pool is a signature, not a transaction. That also fixes today's problem that email users hold 0 AVAX and cannot do anything, on every route, not just the bank.</w:t>
      </w:r>
    </w:p>
    <w:p>
      <w:pPr>
        <w:pStyle w:val="ListParagraph"/>
        <w:numPr>
          <w:ilvl w:val="0"/>
          <w:numId w:val="2"/>
        </w:numPr>
        <w:spacing w:after="70" w:line="276"/>
      </w:pPr>
      <w:r>
        <w:rPr>
          <w:rFonts w:ascii="Calibri" w:cs="Calibri" w:eastAsia="Calibri" w:hAnsi="Calibri"/>
          <w:b/>
          <w:bCs/>
          <w:sz w:val="21"/>
          <w:szCs w:val="21"/>
        </w:rPr>
        <w:t xml:space="preserve">Bank providers deliver USDC on Base, not Avalanche.</w:t>
      </w:r>
      <w:r>
        <w:rPr>
          <w:rFonts w:ascii="Calibri" w:cs="Calibri" w:eastAsia="Calibri" w:hAnsi="Calibri"/>
          <w:sz w:val="21"/>
          <w:szCs w:val="21"/>
        </w:rPr>
        <w:t xml:space="preserve"> Privy's bank deposits, card on-ramp and headless on-ramp all list Base but not Avalanche (only Stripe's own on-ramp delivers on Avalanche, US only). So the bank route is simply one more sender on Base, feeding the deposit module. The CCTP hop to Avalanche is already in that brief.</w:t>
      </w:r>
    </w:p>
    <w:p>
      <w:pPr>
        <w:pStyle w:val="Heading1"/>
        <w:spacing w:after="110" w:before="300"/>
      </w:pPr>
      <w:r>
        <w:rPr>
          <w:rFonts w:ascii="Calibri" w:cs="Calibri" w:eastAsia="Calibri" w:hAnsi="Calibri"/>
          <w:b/>
          <w:bCs/>
          <w:color w:val="171630"/>
          <w:sz w:val="28"/>
          <w:szCs w:val="28"/>
        </w:rPr>
        <w:t xml:space="preserve">How it works, in six steps</w:t>
      </w:r>
    </w:p>
    <w:p>
      <w:pPr>
        <w:pStyle w:val="ListParagraph"/>
        <w:numPr>
          <w:ilvl w:val="0"/>
          <w:numId w:val="3"/>
        </w:numPr>
        <w:spacing w:after="70" w:line="276"/>
      </w:pPr>
      <w:r>
        <w:rPr>
          <w:rFonts w:ascii="Calibri" w:cs="Calibri" w:eastAsia="Calibri" w:hAnsi="Calibri"/>
          <w:sz w:val="21"/>
          <w:szCs w:val="21"/>
        </w:rPr>
        <w:t xml:space="preserve">First time only: the user taps </w:t>
      </w:r>
      <w:r>
        <w:rPr>
          <w:rFonts w:ascii="Calibri" w:cs="Calibri" w:eastAsia="Calibri" w:hAnsi="Calibri"/>
          <w:b/>
          <w:bCs/>
          <w:sz w:val="21"/>
          <w:szCs w:val="21"/>
        </w:rPr>
        <w:t xml:space="preserve">From bank</w:t>
      </w:r>
      <w:r>
        <w:rPr>
          <w:rFonts w:ascii="Calibri" w:cs="Calibri" w:eastAsia="Calibri" w:hAnsi="Calibri"/>
          <w:sz w:val="21"/>
          <w:szCs w:val="21"/>
        </w:rPr>
        <w:t xml:space="preserve"> and completes an identity check (KYC) with Privy's banking partner, Bridge, inside the app.</w:t>
      </w:r>
    </w:p>
    <w:p>
      <w:pPr>
        <w:pStyle w:val="ListParagraph"/>
        <w:numPr>
          <w:ilvl w:val="0"/>
          <w:numId w:val="3"/>
        </w:numPr>
        <w:spacing w:after="70" w:line="276"/>
      </w:pPr>
      <w:r>
        <w:rPr>
          <w:rFonts w:ascii="Calibri" w:cs="Calibri" w:eastAsia="Calibri" w:hAnsi="Calibri"/>
          <w:sz w:val="21"/>
          <w:szCs w:val="21"/>
        </w:rPr>
        <w:t xml:space="preserve">Balcore creates the user's personal bank deposit account (Privy fiat deposits, backed by a Bridge virtual account). The dashboard shows the bank details. They are permanent: reusable, with no reference code to remember.</w:t>
      </w:r>
    </w:p>
    <w:p>
      <w:pPr>
        <w:pStyle w:val="ListParagraph"/>
        <w:numPr>
          <w:ilvl w:val="0"/>
          <w:numId w:val="3"/>
        </w:numPr>
        <w:spacing w:after="70" w:line="276"/>
      </w:pPr>
      <w:r>
        <w:rPr>
          <w:rFonts w:ascii="Calibri" w:cs="Calibri" w:eastAsia="Calibri" w:hAnsi="Calibri"/>
          <w:sz w:val="21"/>
          <w:szCs w:val="21"/>
        </w:rPr>
        <w:t xml:space="preserve">The user sends a normal bank transfer from their own bank: ACH or wire in USD, or EUR.</w:t>
      </w:r>
    </w:p>
    <w:p>
      <w:pPr>
        <w:pStyle w:val="ListParagraph"/>
        <w:numPr>
          <w:ilvl w:val="0"/>
          <w:numId w:val="3"/>
        </w:numPr>
        <w:spacing w:after="70" w:line="276"/>
      </w:pPr>
      <w:r>
        <w:rPr>
          <w:rFonts w:ascii="Calibri" w:cs="Calibri" w:eastAsia="Calibri" w:hAnsi="Calibri"/>
          <w:sz w:val="21"/>
          <w:szCs w:val="21"/>
        </w:rPr>
        <w:t xml:space="preserve">Bridge converts it to USDC and delivers it to the user's Privy wallet </w:t>
      </w:r>
      <w:r>
        <w:rPr>
          <w:rFonts w:ascii="Calibri" w:cs="Calibri" w:eastAsia="Calibri" w:hAnsi="Calibri"/>
          <w:b/>
          <w:bCs/>
          <w:sz w:val="21"/>
          <w:szCs w:val="21"/>
        </w:rPr>
        <w:t xml:space="preserve">on Base</w:t>
      </w:r>
      <w:r>
        <w:rPr>
          <w:rFonts w:ascii="Calibri" w:cs="Calibri" w:eastAsia="Calibri" w:hAnsi="Calibri"/>
          <w:sz w:val="21"/>
          <w:szCs w:val="21"/>
        </w:rPr>
        <w:t xml:space="preserve">. Privy notifies our backend by webhook.</w:t>
      </w:r>
    </w:p>
    <w:p>
      <w:pPr>
        <w:pStyle w:val="ListParagraph"/>
        <w:numPr>
          <w:ilvl w:val="0"/>
          <w:numId w:val="3"/>
        </w:numPr>
        <w:spacing w:after="70" w:line="276"/>
      </w:pPr>
      <w:r>
        <w:rPr>
          <w:rFonts w:ascii="Calibri" w:cs="Calibri" w:eastAsia="Calibri" w:hAnsi="Calibri"/>
          <w:sz w:val="21"/>
          <w:szCs w:val="21"/>
        </w:rPr>
        <w:t xml:space="preserve">The USDC hops to the user's Balcore deposit address on Base in one gas-sponsored transfer (Privy's gas sponsorship covers Base). From here it is the exchange route, unchanged: forward → CCTP → mint → settle → </w:t>
      </w:r>
      <w:r>
        <w:rPr>
          <w:rFonts w:ascii="Calibri" w:cs="Calibri" w:eastAsia="Calibri" w:hAnsi="Calibri"/>
          <w:b/>
          <w:bCs/>
          <w:sz w:val="21"/>
          <w:szCs w:val="21"/>
        </w:rPr>
        <w:t xml:space="preserve">Available in Balcore</w:t>
      </w:r>
      <w:r>
        <w:rPr>
          <w:rFonts w:ascii="Calibri" w:cs="Calibri" w:eastAsia="Calibri" w:hAnsi="Calibri"/>
          <w:sz w:val="21"/>
          <w:szCs w:val="21"/>
        </w:rPr>
        <w:t xml:space="preserve">, plus an email.</w:t>
      </w:r>
    </w:p>
    <w:p>
      <w:pPr>
        <w:pStyle w:val="ListParagraph"/>
        <w:numPr>
          <w:ilvl w:val="0"/>
          <w:numId w:val="3"/>
        </w:numPr>
        <w:spacing w:after="70" w:line="276"/>
      </w:pPr>
      <w:r>
        <w:rPr>
          <w:rFonts w:ascii="Calibri" w:cs="Calibri" w:eastAsia="Calibri" w:hAnsi="Calibri"/>
          <w:sz w:val="21"/>
          <w:szCs w:val="21"/>
        </w:rPr>
        <w:t xml:space="preserve">The user taps </w:t>
      </w:r>
      <w:r>
        <w:rPr>
          <w:rFonts w:ascii="Calibri" w:cs="Calibri" w:eastAsia="Calibri" w:hAnsi="Calibri"/>
          <w:b/>
          <w:bCs/>
          <w:sz w:val="21"/>
          <w:szCs w:val="21"/>
        </w:rPr>
        <w:t xml:space="preserve">Deposit into a pool</w:t>
      </w:r>
      <w:r>
        <w:rPr>
          <w:rFonts w:ascii="Calibri" w:cs="Calibri" w:eastAsia="Calibri" w:hAnsi="Calibri"/>
          <w:sz w:val="21"/>
          <w:szCs w:val="21"/>
        </w:rPr>
        <w:t xml:space="preserve"> or </w:t>
      </w:r>
      <w:r>
        <w:rPr>
          <w:rFonts w:ascii="Calibri" w:cs="Calibri" w:eastAsia="Calibri" w:hAnsi="Calibri"/>
          <w:b/>
          <w:bCs/>
          <w:sz w:val="21"/>
          <w:szCs w:val="21"/>
        </w:rPr>
        <w:t xml:space="preserve">Send to wallet</w:t>
      </w:r>
      <w:r>
        <w:rPr>
          <w:rFonts w:ascii="Calibri" w:cs="Calibri" w:eastAsia="Calibri" w:hAnsi="Calibri"/>
          <w:sz w:val="21"/>
          <w:szCs w:val="21"/>
        </w:rPr>
        <w:t xml:space="preserve">. One signature; the keeper submits. No AVAX is needed.</w:t>
      </w:r>
    </w:p>
    <w:p>
      <w:pPr>
        <w:pStyle w:val="Heading2"/>
        <w:spacing w:after="80" w:before="200"/>
      </w:pPr>
      <w:r>
        <w:rPr>
          <w:rFonts w:ascii="Calibri" w:cs="Calibri" w:eastAsia="Calibri" w:hAnsi="Calibri"/>
          <w:b/>
          <w:bCs/>
          <w:color w:val="5B48D6"/>
          <w:sz w:val="23"/>
          <w:szCs w:val="23"/>
        </w:rPr>
        <w:t xml:space="preserve">Step 5 has two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9C6DE" w:sz="4"/>
              <w:left w:val="single" w:color="C9C6DE" w:sz="4"/>
              <w:bottom w:val="single" w:color="C9C6DE" w:sz="4"/>
              <w:right w:val="single" w:color="C9C6DE" w:sz="4"/>
            </w:tcBorders>
            <w:shd w:fill="EEEDF7" w:color="auto" w:val="clear"/>
            <w:tcMar>
              <w:top w:type="dxa" w:w="70"/>
              <w:left w:type="dxa" w:w="110"/>
              <w:bottom w:type="dxa" w:w="70"/>
              <w:right w:type="dxa" w:w="110"/>
            </w:tcMar>
          </w:tcPr>
          <w:p>
            <w:pPr>
              <w:spacing w:after="20"/>
            </w:pPr>
          </w:p>
        </w:tc>
        <w:tc>
          <w:tcPr>
            <w:tcW w:type="dxa" w:w="3580"/>
            <w:tcBorders>
              <w:top w:val="single" w:color="C9C6DE" w:sz="4"/>
              <w:left w:val="single" w:color="C9C6DE" w:sz="4"/>
              <w:bottom w:val="single" w:color="C9C6DE" w:sz="4"/>
              <w:right w:val="single" w:color="C9C6DE" w:sz="4"/>
            </w:tcBorders>
            <w:shd w:fill="EEEDF7" w:color="auto" w:val="clear"/>
            <w:tcMar>
              <w:top w:type="dxa" w:w="70"/>
              <w:left w:type="dxa" w:w="110"/>
              <w:bottom w:type="dxa" w:w="70"/>
              <w:right w:type="dxa" w:w="110"/>
            </w:tcMar>
          </w:tcPr>
          <w:p>
            <w:pPr>
              <w:spacing w:after="20"/>
            </w:pPr>
            <w:r>
              <w:rPr>
                <w:rFonts w:ascii="Calibri" w:cs="Calibri" w:eastAsia="Calibri" w:hAnsi="Calibri"/>
                <w:b/>
                <w:bCs/>
                <w:sz w:val="19"/>
                <w:szCs w:val="19"/>
              </w:rPr>
              <w:t xml:space="preserve">A. One tap (build first)</w:t>
            </w:r>
          </w:p>
        </w:tc>
        <w:tc>
          <w:tcPr>
            <w:tcW w:type="dxa" w:w="3580"/>
            <w:tcBorders>
              <w:top w:val="single" w:color="C9C6DE" w:sz="4"/>
              <w:left w:val="single" w:color="C9C6DE" w:sz="4"/>
              <w:bottom w:val="single" w:color="C9C6DE" w:sz="4"/>
              <w:right w:val="single" w:color="C9C6DE" w:sz="4"/>
            </w:tcBorders>
            <w:shd w:fill="EEEDF7" w:color="auto" w:val="clear"/>
            <w:tcMar>
              <w:top w:type="dxa" w:w="70"/>
              <w:left w:type="dxa" w:w="110"/>
              <w:bottom w:type="dxa" w:w="70"/>
              <w:right w:type="dxa" w:w="110"/>
            </w:tcMar>
          </w:tcPr>
          <w:p>
            <w:pPr>
              <w:spacing w:after="20"/>
            </w:pPr>
            <w:r>
              <w:rPr>
                <w:rFonts w:ascii="Calibri" w:cs="Calibri" w:eastAsia="Calibri" w:hAnsi="Calibri"/>
                <w:b/>
                <w:bCs/>
                <w:sz w:val="19"/>
                <w:szCs w:val="19"/>
              </w:rPr>
              <w:t xml:space="preserve">B. Automatic (later)</w:t>
            </w:r>
          </w:p>
        </w:tc>
      </w:tr>
      <w:tr>
        <w:trPr>
          <w:tblHeader w:val="false"/>
        </w:trPr>
        <w:tc>
          <w:tcPr>
            <w:tcW w:type="dxa" w:w="2200"/>
            <w:tcBorders>
              <w:top w:val="single" w:color="C9C6DE" w:sz="4"/>
              <w:left w:val="single" w:color="C9C6DE" w:sz="4"/>
              <w:bottom w:val="single" w:color="C9C6DE" w:sz="4"/>
              <w:right w:val="single" w:color="C9C6DE"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How</w:t>
            </w:r>
          </w:p>
        </w:tc>
        <w:tc>
          <w:tcPr>
            <w:tcW w:type="dxa" w:w="3580"/>
            <w:tcBorders>
              <w:top w:val="single" w:color="C9C6DE" w:sz="4"/>
              <w:left w:val="single" w:color="C9C6DE" w:sz="4"/>
              <w:bottom w:val="single" w:color="C9C6DE" w:sz="4"/>
              <w:right w:val="single" w:color="C9C6DE"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Next time the user opens the app: “$X arrived from your bank. Move to Balcore.” One tap, gas sponsored.</w:t>
            </w:r>
          </w:p>
        </w:tc>
        <w:tc>
          <w:tcPr>
            <w:tcW w:type="dxa" w:w="3580"/>
            <w:tcBorders>
              <w:top w:val="single" w:color="C9C6DE" w:sz="4"/>
              <w:left w:val="single" w:color="C9C6DE" w:sz="4"/>
              <w:bottom w:val="single" w:color="C9C6DE" w:sz="4"/>
              <w:right w:val="single" w:color="C9C6DE"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Our backend moves it the moment the webhook fires, using a Privy server-side signer restricted by a policy to one action: send USDC on Base to this user's deposit address.</w:t>
            </w:r>
          </w:p>
        </w:tc>
      </w:tr>
      <w:tr>
        <w:trPr>
          <w:tblHeader w:val="false"/>
        </w:trPr>
        <w:tc>
          <w:tcPr>
            <w:tcW w:type="dxa" w:w="2200"/>
            <w:tcBorders>
              <w:top w:val="single" w:color="C9C6DE" w:sz="4"/>
              <w:left w:val="single" w:color="C9C6DE" w:sz="4"/>
              <w:bottom w:val="single" w:color="C9C6DE" w:sz="4"/>
              <w:right w:val="single" w:color="C9C6DE"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Upside</w:t>
            </w:r>
          </w:p>
        </w:tc>
        <w:tc>
          <w:tcPr>
            <w:tcW w:type="dxa" w:w="3580"/>
            <w:tcBorders>
              <w:top w:val="single" w:color="C9C6DE" w:sz="4"/>
              <w:left w:val="single" w:color="C9C6DE" w:sz="4"/>
              <w:bottom w:val="single" w:color="C9C6DE" w:sz="4"/>
              <w:right w:val="single" w:color="C9C6DE"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Small and easy to review; the user signs every movement.</w:t>
            </w:r>
          </w:p>
        </w:tc>
        <w:tc>
          <w:tcPr>
            <w:tcW w:type="dxa" w:w="3580"/>
            <w:tcBorders>
              <w:top w:val="single" w:color="C9C6DE" w:sz="4"/>
              <w:left w:val="single" w:color="C9C6DE" w:sz="4"/>
              <w:bottom w:val="single" w:color="C9C6DE" w:sz="4"/>
              <w:right w:val="single" w:color="C9C6DE"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The money is Available with no user action, matching the exchange route.</w:t>
            </w:r>
          </w:p>
        </w:tc>
      </w:tr>
      <w:tr>
        <w:trPr>
          <w:tblHeader w:val="false"/>
        </w:trPr>
        <w:tc>
          <w:tcPr>
            <w:tcW w:type="dxa" w:w="2200"/>
            <w:tcBorders>
              <w:top w:val="single" w:color="C9C6DE" w:sz="4"/>
              <w:left w:val="single" w:color="C9C6DE" w:sz="4"/>
              <w:bottom w:val="single" w:color="C9C6DE" w:sz="4"/>
              <w:right w:val="single" w:color="C9C6DE"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Downside</w:t>
            </w:r>
          </w:p>
        </w:tc>
        <w:tc>
          <w:tcPr>
            <w:tcW w:type="dxa" w:w="3580"/>
            <w:tcBorders>
              <w:top w:val="single" w:color="C9C6DE" w:sz="4"/>
              <w:left w:val="single" w:color="C9C6DE" w:sz="4"/>
              <w:bottom w:val="single" w:color="C9C6DE" w:sz="4"/>
              <w:right w:val="single" w:color="C9C6DE"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Funds wait on Base until the user comes back.</w:t>
            </w:r>
          </w:p>
        </w:tc>
        <w:tc>
          <w:tcPr>
            <w:tcW w:type="dxa" w:w="3580"/>
            <w:tcBorders>
              <w:top w:val="single" w:color="C9C6DE" w:sz="4"/>
              <w:left w:val="single" w:color="C9C6DE" w:sz="4"/>
              <w:bottom w:val="single" w:color="C9C6DE" w:sz="4"/>
              <w:right w:val="single" w:color="C9C6DE"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More to build and review; it gives the backend a signing permission, so the policy must be airtight.</w:t>
            </w:r>
          </w:p>
        </w:tc>
      </w:tr>
    </w:tbl>
    <w:p>
      <w:pPr>
        <w:spacing w:after="80"/>
      </w:pPr>
    </w:p>
    <w:p>
      <w:pPr>
        <w:pStyle w:val="Heading1"/>
        <w:spacing w:after="110" w:before="300"/>
      </w:pPr>
      <w:r>
        <w:rPr>
          <w:rFonts w:ascii="Calibri" w:cs="Calibri" w:eastAsia="Calibri" w:hAnsi="Calibri"/>
          <w:b/>
          <w:bCs/>
          <w:color w:val="171630"/>
          <w:sz w:val="28"/>
          <w:szCs w:val="28"/>
        </w:rPr>
        <w:t xml:space="preserve">Which provider, by where users bank</w:t>
      </w:r>
    </w:p>
    <w:p>
      <w:pPr>
        <w:spacing w:after="120" w:line="276"/>
      </w:pPr>
      <w:r>
        <w:rPr>
          <w:rFonts w:ascii="Calibri" w:cs="Calibri" w:eastAsia="Calibri" w:hAnsi="Calibri"/>
          <w:sz w:val="21"/>
          <w:szCs w:val="21"/>
        </w:rPr>
        <w:t xml:space="preserve">This is the one decision that changes the build. What each option covers, as of 11 September: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50"/>
        <w:gridCol w:w="2200"/>
        <w:gridCol w:w="1900"/>
        <w:gridCol w:w="1700"/>
        <w:gridCol w:w="1910"/>
      </w:tblGrid>
      <w:tr>
        <w:trPr>
          <w:tblHeader/>
        </w:trPr>
        <w:tc>
          <w:tcPr>
            <w:tcW w:type="dxa" w:w="1650"/>
            <w:tcBorders>
              <w:top w:val="single" w:color="C9C6DE" w:sz="4"/>
              <w:left w:val="single" w:color="C9C6DE" w:sz="4"/>
              <w:bottom w:val="single" w:color="C9C6DE" w:sz="4"/>
              <w:right w:val="single" w:color="C9C6DE" w:sz="4"/>
            </w:tcBorders>
            <w:shd w:fill="EEEDF7" w:color="auto" w:val="clear"/>
            <w:tcMar>
              <w:top w:type="dxa" w:w="70"/>
              <w:left w:type="dxa" w:w="110"/>
              <w:bottom w:type="dxa" w:w="70"/>
              <w:right w:type="dxa" w:w="110"/>
            </w:tcMar>
          </w:tcPr>
          <w:p>
            <w:pPr>
              <w:spacing w:after="20"/>
            </w:pPr>
            <w:r>
              <w:rPr>
                <w:rFonts w:ascii="Calibri" w:cs="Calibri" w:eastAsia="Calibri" w:hAnsi="Calibri"/>
                <w:b/>
                <w:bCs/>
                <w:sz w:val="19"/>
                <w:szCs w:val="19"/>
              </w:rPr>
              <w:t xml:space="preserve">Users bank in</w:t>
            </w:r>
          </w:p>
        </w:tc>
        <w:tc>
          <w:tcPr>
            <w:tcW w:type="dxa" w:w="2200"/>
            <w:tcBorders>
              <w:top w:val="single" w:color="C9C6DE" w:sz="4"/>
              <w:left w:val="single" w:color="C9C6DE" w:sz="4"/>
              <w:bottom w:val="single" w:color="C9C6DE" w:sz="4"/>
              <w:right w:val="single" w:color="C9C6DE" w:sz="4"/>
            </w:tcBorders>
            <w:shd w:fill="EEEDF7" w:color="auto" w:val="clear"/>
            <w:tcMar>
              <w:top w:type="dxa" w:w="70"/>
              <w:left w:type="dxa" w:w="110"/>
              <w:bottom w:type="dxa" w:w="70"/>
              <w:right w:type="dxa" w:w="110"/>
            </w:tcMar>
          </w:tcPr>
          <w:p>
            <w:pPr>
              <w:spacing w:after="20"/>
            </w:pPr>
            <w:r>
              <w:rPr>
                <w:rFonts w:ascii="Calibri" w:cs="Calibri" w:eastAsia="Calibri" w:hAnsi="Calibri"/>
                <w:b/>
                <w:bCs/>
                <w:sz w:val="19"/>
                <w:szCs w:val="19"/>
              </w:rPr>
              <w:t xml:space="preserve">Provider</w:t>
            </w:r>
          </w:p>
        </w:tc>
        <w:tc>
          <w:tcPr>
            <w:tcW w:type="dxa" w:w="1900"/>
            <w:tcBorders>
              <w:top w:val="single" w:color="C9C6DE" w:sz="4"/>
              <w:left w:val="single" w:color="C9C6DE" w:sz="4"/>
              <w:bottom w:val="single" w:color="C9C6DE" w:sz="4"/>
              <w:right w:val="single" w:color="C9C6DE" w:sz="4"/>
            </w:tcBorders>
            <w:shd w:fill="EEEDF7" w:color="auto" w:val="clear"/>
            <w:tcMar>
              <w:top w:type="dxa" w:w="70"/>
              <w:left w:type="dxa" w:w="110"/>
              <w:bottom w:type="dxa" w:w="70"/>
              <w:right w:type="dxa" w:w="110"/>
            </w:tcMar>
          </w:tcPr>
          <w:p>
            <w:pPr>
              <w:spacing w:after="20"/>
            </w:pPr>
            <w:r>
              <w:rPr>
                <w:rFonts w:ascii="Calibri" w:cs="Calibri" w:eastAsia="Calibri" w:hAnsi="Calibri"/>
                <w:b/>
                <w:bCs/>
                <w:sz w:val="19"/>
                <w:szCs w:val="19"/>
              </w:rPr>
              <w:t xml:space="preserve">Pays with</w:t>
            </w:r>
          </w:p>
        </w:tc>
        <w:tc>
          <w:tcPr>
            <w:tcW w:type="dxa" w:w="1700"/>
            <w:tcBorders>
              <w:top w:val="single" w:color="C9C6DE" w:sz="4"/>
              <w:left w:val="single" w:color="C9C6DE" w:sz="4"/>
              <w:bottom w:val="single" w:color="C9C6DE" w:sz="4"/>
              <w:right w:val="single" w:color="C9C6DE" w:sz="4"/>
            </w:tcBorders>
            <w:shd w:fill="EEEDF7" w:color="auto" w:val="clear"/>
            <w:tcMar>
              <w:top w:type="dxa" w:w="70"/>
              <w:left w:type="dxa" w:w="110"/>
              <w:bottom w:type="dxa" w:w="70"/>
              <w:right w:type="dxa" w:w="110"/>
            </w:tcMar>
          </w:tcPr>
          <w:p>
            <w:pPr>
              <w:spacing w:after="20"/>
            </w:pPr>
            <w:r>
              <w:rPr>
                <w:rFonts w:ascii="Calibri" w:cs="Calibri" w:eastAsia="Calibri" w:hAnsi="Calibri"/>
                <w:b/>
                <w:bCs/>
                <w:sz w:val="19"/>
                <w:szCs w:val="19"/>
              </w:rPr>
              <w:t xml:space="preserve">USDC lands on</w:t>
            </w:r>
          </w:p>
        </w:tc>
        <w:tc>
          <w:tcPr>
            <w:tcW w:type="dxa" w:w="1910"/>
            <w:tcBorders>
              <w:top w:val="single" w:color="C9C6DE" w:sz="4"/>
              <w:left w:val="single" w:color="C9C6DE" w:sz="4"/>
              <w:bottom w:val="single" w:color="C9C6DE" w:sz="4"/>
              <w:right w:val="single" w:color="C9C6DE" w:sz="4"/>
            </w:tcBorders>
            <w:shd w:fill="EEEDF7" w:color="auto" w:val="clear"/>
            <w:tcMar>
              <w:top w:type="dxa" w:w="70"/>
              <w:left w:type="dxa" w:w="110"/>
              <w:bottom w:type="dxa" w:w="70"/>
              <w:right w:type="dxa" w:w="110"/>
            </w:tcMar>
          </w:tcPr>
          <w:p>
            <w:pPr>
              <w:spacing w:after="20"/>
            </w:pPr>
            <w:r>
              <w:rPr>
                <w:rFonts w:ascii="Calibri" w:cs="Calibri" w:eastAsia="Calibri" w:hAnsi="Calibri"/>
                <w:b/>
                <w:bCs/>
                <w:sz w:val="19"/>
                <w:szCs w:val="19"/>
              </w:rPr>
              <w:t xml:space="preserve">Status</w:t>
            </w:r>
          </w:p>
        </w:tc>
      </w:tr>
      <w:tr>
        <w:trPr>
          <w:tblHeader w:val="false"/>
        </w:trPr>
        <w:tc>
          <w:tcPr>
            <w:tcW w:type="dxa" w:w="1650"/>
            <w:tcBorders>
              <w:top w:val="single" w:color="C9C6DE" w:sz="4"/>
              <w:left w:val="single" w:color="C9C6DE" w:sz="4"/>
              <w:bottom w:val="single" w:color="C9C6DE" w:sz="4"/>
              <w:right w:val="single" w:color="C9C6DE"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US</w:t>
            </w:r>
          </w:p>
        </w:tc>
        <w:tc>
          <w:tcPr>
            <w:tcW w:type="dxa" w:w="2200"/>
            <w:tcBorders>
              <w:top w:val="single" w:color="C9C6DE" w:sz="4"/>
              <w:left w:val="single" w:color="C9C6DE" w:sz="4"/>
              <w:bottom w:val="single" w:color="C9C6DE" w:sz="4"/>
              <w:right w:val="single" w:color="C9C6DE"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Privy fiat deposits (Bridge)</w:t>
            </w:r>
          </w:p>
        </w:tc>
        <w:tc>
          <w:tcPr>
            <w:tcW w:type="dxa" w:w="1900"/>
            <w:tcBorders>
              <w:top w:val="single" w:color="C9C6DE" w:sz="4"/>
              <w:left w:val="single" w:color="C9C6DE" w:sz="4"/>
              <w:bottom w:val="single" w:color="C9C6DE" w:sz="4"/>
              <w:right w:val="single" w:color="C9C6DE"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ACH, wire</w:t>
            </w:r>
          </w:p>
        </w:tc>
        <w:tc>
          <w:tcPr>
            <w:tcW w:type="dxa" w:w="1700"/>
            <w:tcBorders>
              <w:top w:val="single" w:color="C9C6DE" w:sz="4"/>
              <w:left w:val="single" w:color="C9C6DE" w:sz="4"/>
              <w:bottom w:val="single" w:color="C9C6DE" w:sz="4"/>
              <w:right w:val="single" w:color="C9C6DE"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Base</w:t>
            </w:r>
          </w:p>
        </w:tc>
        <w:tc>
          <w:tcPr>
            <w:tcW w:type="dxa" w:w="1910"/>
            <w:tcBorders>
              <w:top w:val="single" w:color="C9C6DE" w:sz="4"/>
              <w:left w:val="single" w:color="C9C6DE" w:sz="4"/>
              <w:bottom w:val="single" w:color="C9C6DE" w:sz="4"/>
              <w:right w:val="single" w:color="C9C6DE"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Recommended. In Privy's docs; server-side, needs KYC</w:t>
            </w:r>
          </w:p>
        </w:tc>
      </w:tr>
      <w:tr>
        <w:trPr>
          <w:tblHeader w:val="false"/>
        </w:trPr>
        <w:tc>
          <w:tcPr>
            <w:tcW w:type="dxa" w:w="1650"/>
            <w:tcBorders>
              <w:top w:val="single" w:color="C9C6DE" w:sz="4"/>
              <w:left w:val="single" w:color="C9C6DE" w:sz="4"/>
              <w:bottom w:val="single" w:color="C9C6DE" w:sz="4"/>
              <w:right w:val="single" w:color="C9C6DE"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Europe</w:t>
            </w:r>
          </w:p>
        </w:tc>
        <w:tc>
          <w:tcPr>
            <w:tcW w:type="dxa" w:w="2200"/>
            <w:tcBorders>
              <w:top w:val="single" w:color="C9C6DE" w:sz="4"/>
              <w:left w:val="single" w:color="C9C6DE" w:sz="4"/>
              <w:bottom w:val="single" w:color="C9C6DE" w:sz="4"/>
              <w:right w:val="single" w:color="C9C6DE"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Privy fiat deposits (Bridge)</w:t>
            </w:r>
          </w:p>
        </w:tc>
        <w:tc>
          <w:tcPr>
            <w:tcW w:type="dxa" w:w="1900"/>
            <w:tcBorders>
              <w:top w:val="single" w:color="C9C6DE" w:sz="4"/>
              <w:left w:val="single" w:color="C9C6DE" w:sz="4"/>
              <w:bottom w:val="single" w:color="C9C6DE" w:sz="4"/>
              <w:right w:val="single" w:color="C9C6DE"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EUR bank transfer</w:t>
            </w:r>
          </w:p>
        </w:tc>
        <w:tc>
          <w:tcPr>
            <w:tcW w:type="dxa" w:w="1700"/>
            <w:tcBorders>
              <w:top w:val="single" w:color="C9C6DE" w:sz="4"/>
              <w:left w:val="single" w:color="C9C6DE" w:sz="4"/>
              <w:bottom w:val="single" w:color="C9C6DE" w:sz="4"/>
              <w:right w:val="single" w:color="C9C6DE"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Base</w:t>
            </w:r>
          </w:p>
        </w:tc>
        <w:tc>
          <w:tcPr>
            <w:tcW w:type="dxa" w:w="1910"/>
            <w:tcBorders>
              <w:top w:val="single" w:color="C9C6DE" w:sz="4"/>
              <w:left w:val="single" w:color="C9C6DE" w:sz="4"/>
              <w:bottom w:val="single" w:color="C9C6DE" w:sz="4"/>
              <w:right w:val="single" w:color="C9C6DE"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EUR listed; confirm the SEPA rail with Privy</w:t>
            </w:r>
          </w:p>
        </w:tc>
      </w:tr>
      <w:tr>
        <w:trPr>
          <w:tblHeader w:val="false"/>
        </w:trPr>
        <w:tc>
          <w:tcPr>
            <w:tcW w:type="dxa" w:w="1650"/>
            <w:tcBorders>
              <w:top w:val="single" w:color="C9C6DE" w:sz="4"/>
              <w:left w:val="single" w:color="C9C6DE" w:sz="4"/>
              <w:bottom w:val="single" w:color="C9C6DE" w:sz="4"/>
              <w:right w:val="single" w:color="C9C6DE"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US</w:t>
            </w:r>
          </w:p>
        </w:tc>
        <w:tc>
          <w:tcPr>
            <w:tcW w:type="dxa" w:w="2200"/>
            <w:tcBorders>
              <w:top w:val="single" w:color="C9C6DE" w:sz="4"/>
              <w:left w:val="single" w:color="C9C6DE" w:sz="4"/>
              <w:bottom w:val="single" w:color="C9C6DE" w:sz="4"/>
              <w:right w:val="single" w:color="C9C6DE"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Stripe crypto on-ramp</w:t>
            </w:r>
          </w:p>
        </w:tc>
        <w:tc>
          <w:tcPr>
            <w:tcW w:type="dxa" w:w="1900"/>
            <w:tcBorders>
              <w:top w:val="single" w:color="C9C6DE" w:sz="4"/>
              <w:left w:val="single" w:color="C9C6DE" w:sz="4"/>
              <w:bottom w:val="single" w:color="C9C6DE" w:sz="4"/>
              <w:right w:val="single" w:color="C9C6DE"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ACH, card, Apple Pay</w:t>
            </w:r>
          </w:p>
        </w:tc>
        <w:tc>
          <w:tcPr>
            <w:tcW w:type="dxa" w:w="1700"/>
            <w:tcBorders>
              <w:top w:val="single" w:color="C9C6DE" w:sz="4"/>
              <w:left w:val="single" w:color="C9C6DE" w:sz="4"/>
              <w:bottom w:val="single" w:color="C9C6DE" w:sz="4"/>
              <w:right w:val="single" w:color="C9C6DE"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Avalanche directly</w:t>
            </w:r>
          </w:p>
        </w:tc>
        <w:tc>
          <w:tcPr>
            <w:tcW w:type="dxa" w:w="1910"/>
            <w:tcBorders>
              <w:top w:val="single" w:color="C9C6DE" w:sz="4"/>
              <w:left w:val="single" w:color="C9C6DE" w:sz="4"/>
              <w:bottom w:val="single" w:color="C9C6DE" w:sz="4"/>
              <w:right w:val="single" w:color="C9C6DE"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US except New York; not EU. Later shortcut</w:t>
            </w:r>
          </w:p>
        </w:tc>
      </w:tr>
      <w:tr>
        <w:trPr>
          <w:tblHeader w:val="false"/>
        </w:trPr>
        <w:tc>
          <w:tcPr>
            <w:tcW w:type="dxa" w:w="1650"/>
            <w:tcBorders>
              <w:top w:val="single" w:color="C9C6DE" w:sz="4"/>
              <w:left w:val="single" w:color="C9C6DE" w:sz="4"/>
              <w:bottom w:val="single" w:color="C9C6DE" w:sz="4"/>
              <w:right w:val="single" w:color="C9C6DE"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Card, many countries</w:t>
            </w:r>
          </w:p>
        </w:tc>
        <w:tc>
          <w:tcPr>
            <w:tcW w:type="dxa" w:w="2200"/>
            <w:tcBorders>
              <w:top w:val="single" w:color="C9C6DE" w:sz="4"/>
              <w:left w:val="single" w:color="C9C6DE" w:sz="4"/>
              <w:bottom w:val="single" w:color="C9C6DE" w:sz="4"/>
              <w:right w:val="single" w:color="C9C6DE"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Privy card on-ramp (Stripe, Meld, MoonPay, Coinbase)</w:t>
            </w:r>
          </w:p>
        </w:tc>
        <w:tc>
          <w:tcPr>
            <w:tcW w:type="dxa" w:w="1900"/>
            <w:tcBorders>
              <w:top w:val="single" w:color="C9C6DE" w:sz="4"/>
              <w:left w:val="single" w:color="C9C6DE" w:sz="4"/>
              <w:bottom w:val="single" w:color="C9C6DE" w:sz="4"/>
              <w:right w:val="single" w:color="C9C6DE"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Card, Apple Pay, Google Pay</w:t>
            </w:r>
          </w:p>
        </w:tc>
        <w:tc>
          <w:tcPr>
            <w:tcW w:type="dxa" w:w="1700"/>
            <w:tcBorders>
              <w:top w:val="single" w:color="C9C6DE" w:sz="4"/>
              <w:left w:val="single" w:color="C9C6DE" w:sz="4"/>
              <w:bottom w:val="single" w:color="C9C6DE" w:sz="4"/>
              <w:right w:val="single" w:color="C9C6DE"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Base</w:t>
            </w:r>
          </w:p>
        </w:tc>
        <w:tc>
          <w:tcPr>
            <w:tcW w:type="dxa" w:w="1910"/>
            <w:tcBorders>
              <w:top w:val="single" w:color="C9C6DE" w:sz="4"/>
              <w:left w:val="single" w:color="C9C6DE" w:sz="4"/>
              <w:bottom w:val="single" w:color="C9C6DE" w:sz="4"/>
              <w:right w:val="single" w:color="C9C6DE"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Easy add in the same tab later</w:t>
            </w:r>
          </w:p>
        </w:tc>
      </w:tr>
      <w:tr>
        <w:trPr>
          <w:tblHeader w:val="false"/>
        </w:trPr>
        <w:tc>
          <w:tcPr>
            <w:tcW w:type="dxa" w:w="1650"/>
            <w:tcBorders>
              <w:top w:val="single" w:color="C9C6DE" w:sz="4"/>
              <w:left w:val="single" w:color="C9C6DE" w:sz="4"/>
              <w:bottom w:val="single" w:color="C9C6DE" w:sz="4"/>
              <w:right w:val="single" w:color="C9C6DE"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US, Coinbase</w:t>
            </w:r>
          </w:p>
        </w:tc>
        <w:tc>
          <w:tcPr>
            <w:tcW w:type="dxa" w:w="2200"/>
            <w:tcBorders>
              <w:top w:val="single" w:color="C9C6DE" w:sz="4"/>
              <w:left w:val="single" w:color="C9C6DE" w:sz="4"/>
              <w:bottom w:val="single" w:color="C9C6DE" w:sz="4"/>
              <w:right w:val="single" w:color="C9C6DE"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Coinbase Onramp</w:t>
            </w:r>
          </w:p>
        </w:tc>
        <w:tc>
          <w:tcPr>
            <w:tcW w:type="dxa" w:w="1900"/>
            <w:tcBorders>
              <w:top w:val="single" w:color="C9C6DE" w:sz="4"/>
              <w:left w:val="single" w:color="C9C6DE" w:sz="4"/>
              <w:bottom w:val="single" w:color="C9C6DE" w:sz="4"/>
              <w:right w:val="single" w:color="C9C6DE"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ACH, needs a Coinbase account</w:t>
            </w:r>
          </w:p>
        </w:tc>
        <w:tc>
          <w:tcPr>
            <w:tcW w:type="dxa" w:w="1700"/>
            <w:tcBorders>
              <w:top w:val="single" w:color="C9C6DE" w:sz="4"/>
              <w:left w:val="single" w:color="C9C6DE" w:sz="4"/>
              <w:bottom w:val="single" w:color="C9C6DE" w:sz="4"/>
              <w:right w:val="single" w:color="C9C6DE"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Many chains</w:t>
            </w:r>
          </w:p>
        </w:tc>
        <w:tc>
          <w:tcPr>
            <w:tcW w:type="dxa" w:w="1910"/>
            <w:tcBorders>
              <w:top w:val="single" w:color="C9C6DE" w:sz="4"/>
              <w:left w:val="single" w:color="C9C6DE" w:sz="4"/>
              <w:bottom w:val="single" w:color="C9C6DE" w:sz="4"/>
              <w:right w:val="single" w:color="C9C6DE"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Not for non-crypto users: checkout without an account ended 30 June 2026</w:t>
            </w:r>
          </w:p>
        </w:tc>
      </w:tr>
      <w:tr>
        <w:trPr>
          <w:tblHeader w:val="false"/>
        </w:trPr>
        <w:tc>
          <w:tcPr>
            <w:tcW w:type="dxa" w:w="1650"/>
            <w:tcBorders>
              <w:top w:val="single" w:color="C9C6DE" w:sz="4"/>
              <w:left w:val="single" w:color="C9C6DE" w:sz="4"/>
              <w:bottom w:val="single" w:color="C9C6DE" w:sz="4"/>
              <w:right w:val="single" w:color="C9C6DE"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India and others</w:t>
            </w:r>
          </w:p>
        </w:tc>
        <w:tc>
          <w:tcPr>
            <w:tcW w:type="dxa" w:w="2200"/>
            <w:tcBorders>
              <w:top w:val="single" w:color="C9C6DE" w:sz="4"/>
              <w:left w:val="single" w:color="C9C6DE" w:sz="4"/>
              <w:bottom w:val="single" w:color="C9C6DE" w:sz="4"/>
              <w:right w:val="single" w:color="C9C6DE"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None verified</w:t>
            </w:r>
          </w:p>
        </w:tc>
        <w:tc>
          <w:tcPr>
            <w:tcW w:type="dxa" w:w="1900"/>
            <w:tcBorders>
              <w:top w:val="single" w:color="C9C6DE" w:sz="4"/>
              <w:left w:val="single" w:color="C9C6DE" w:sz="4"/>
              <w:bottom w:val="single" w:color="C9C6DE" w:sz="4"/>
              <w:right w:val="single" w:color="C9C6DE"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w:t>
            </w:r>
          </w:p>
        </w:tc>
        <w:tc>
          <w:tcPr>
            <w:tcW w:type="dxa" w:w="1700"/>
            <w:tcBorders>
              <w:top w:val="single" w:color="C9C6DE" w:sz="4"/>
              <w:left w:val="single" w:color="C9C6DE" w:sz="4"/>
              <w:bottom w:val="single" w:color="C9C6DE" w:sz="4"/>
              <w:right w:val="single" w:color="C9C6DE"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w:t>
            </w:r>
          </w:p>
        </w:tc>
        <w:tc>
          <w:tcPr>
            <w:tcW w:type="dxa" w:w="1910"/>
            <w:tcBorders>
              <w:top w:val="single" w:color="C9C6DE" w:sz="4"/>
              <w:left w:val="single" w:color="C9C6DE" w:sz="4"/>
              <w:bottom w:val="single" w:color="C9C6DE" w:sz="4"/>
              <w:right w:val="single" w:color="C9C6DE"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Bridge offers no INR. Needs separate research</w:t>
            </w:r>
          </w:p>
        </w:tc>
      </w:tr>
    </w:tbl>
    <w:p>
      <w:pPr>
        <w:spacing w:after="80"/>
      </w:pPr>
    </w:p>
    <w:p>
      <w:pPr>
        <w:spacing w:after="120" w:line="276"/>
      </w:pPr>
      <w:r>
        <w:rPr>
          <w:rFonts w:ascii="Calibri" w:cs="Calibri" w:eastAsia="Calibri" w:hAnsi="Calibri"/>
          <w:b/>
          <w:bCs/>
          <w:sz w:val="21"/>
          <w:szCs w:val="21"/>
        </w:rPr>
        <w:t xml:space="preserve">Recommendation:</w:t>
      </w:r>
      <w:r>
        <w:rPr>
          <w:rFonts w:ascii="Calibri" w:cs="Calibri" w:eastAsia="Calibri" w:hAnsi="Calibri"/>
          <w:sz w:val="21"/>
          <w:szCs w:val="21"/>
        </w:rPr>
        <w:t xml:space="preserve"> launch with Privy fiat deposits for US and European users. One provider covers both, the permanent bank details are the simplest experience for a non-crypto user, identity checks are handled by the provider, and it runs through the Privy account we already use. Add the card on-ramp and Stripe's direct-to-Avalanche route after launch.</w:t>
      </w:r>
    </w:p>
    <w:p>
      <w:pPr>
        <w:pStyle w:val="Heading1"/>
        <w:spacing w:after="110" w:before="300"/>
      </w:pPr>
      <w:r>
        <w:rPr>
          <w:rFonts w:ascii="Calibri" w:cs="Calibri" w:eastAsia="Calibri" w:hAnsi="Calibri"/>
          <w:b/>
          <w:bCs/>
          <w:color w:val="171630"/>
          <w:sz w:val="28"/>
          <w:szCs w:val="28"/>
        </w:rPr>
        <w:t xml:space="preserve">What to build</w:t>
      </w:r>
    </w:p>
    <w:p>
      <w:pPr>
        <w:spacing w:after="120" w:line="276"/>
      </w:pPr>
      <w:r>
        <w:rPr>
          <w:rFonts w:ascii="Calibri" w:cs="Calibri" w:eastAsia="Calibri" w:hAnsi="Calibri"/>
          <w:sz w:val="21"/>
          <w:szCs w:val="21"/>
        </w:rPr>
        <w:t xml:space="preserve">Everything here sits on top of the Deposit from any chain module. </w:t>
      </w:r>
      <w:r>
        <w:rPr>
          <w:rFonts w:ascii="Calibri" w:cs="Calibri" w:eastAsia="Calibri" w:hAnsi="Calibri"/>
          <w:b/>
          <w:bCs/>
          <w:sz w:val="21"/>
          <w:szCs w:val="21"/>
        </w:rPr>
        <w:t xml:space="preserve">That module is the foundation and ships first;</w:t>
      </w:r>
      <w:r>
        <w:rPr>
          <w:rFonts w:ascii="Calibri" w:cs="Calibri" w:eastAsia="Calibri" w:hAnsi="Calibri"/>
          <w:sz w:val="21"/>
          <w:szCs w:val="21"/>
        </w:rPr>
        <w:t xml:space="preserve"> the bank route adds no new contract.</w:t>
      </w:r>
    </w:p>
    <w:p>
      <w:pPr>
        <w:pStyle w:val="Heading2"/>
        <w:spacing w:after="80" w:before="200"/>
      </w:pPr>
      <w:r>
        <w:rPr>
          <w:rFonts w:ascii="Calibri" w:cs="Calibri" w:eastAsia="Calibri" w:hAnsi="Calibri"/>
          <w:b/>
          <w:bCs/>
          <w:color w:val="5B48D6"/>
          <w:sz w:val="23"/>
          <w:szCs w:val="23"/>
        </w:rPr>
        <w:t xml:space="preserve">A. Contracts</w:t>
      </w:r>
    </w:p>
    <w:p>
      <w:pPr>
        <w:pStyle w:val="ListParagraph"/>
        <w:numPr>
          <w:ilvl w:val="0"/>
          <w:numId w:val="4"/>
        </w:numPr>
        <w:spacing w:after="70" w:line="276"/>
      </w:pPr>
      <w:r>
        <w:rPr>
          <w:rFonts w:ascii="Calibri" w:cs="Calibri" w:eastAsia="Calibri" w:hAnsi="Calibri"/>
          <w:sz w:val="21"/>
          <w:szCs w:val="21"/>
        </w:rPr>
        <w:t xml:space="preserve">Nothing new. The bank route uses DepositFactory, Deposit and Bank.depositFor as specified. This answers Appendix D's third question: </w:t>
      </w:r>
      <w:r>
        <w:rPr>
          <w:rFonts w:ascii="Calibri" w:cs="Calibri" w:eastAsia="Calibri" w:hAnsi="Calibri"/>
          <w:b/>
          <w:bCs/>
          <w:sz w:val="21"/>
          <w:szCs w:val="21"/>
        </w:rPr>
        <w:t xml:space="preserve">yes, the bank route delivers into the deposit address</w:t>
      </w:r>
      <w:r>
        <w:rPr>
          <w:rFonts w:ascii="Calibri" w:cs="Calibri" w:eastAsia="Calibri" w:hAnsi="Calibri"/>
          <w:sz w:val="21"/>
          <w:szCs w:val="21"/>
        </w:rPr>
        <w:t xml:space="preserve">, so every route lands in one account.</w:t>
      </w:r>
    </w:p>
    <w:p>
      <w:pPr>
        <w:pStyle w:val="Heading2"/>
        <w:spacing w:after="80" w:before="200"/>
      </w:pPr>
      <w:r>
        <w:rPr>
          <w:rFonts w:ascii="Calibri" w:cs="Calibri" w:eastAsia="Calibri" w:hAnsi="Calibri"/>
          <w:b/>
          <w:bCs/>
          <w:color w:val="5B48D6"/>
          <w:sz w:val="23"/>
          <w:szCs w:val="23"/>
        </w:rPr>
        <w:t xml:space="preserve">B. Backend (same service as the keeper and API)</w:t>
      </w:r>
    </w:p>
    <w:p>
      <w:pPr>
        <w:pStyle w:val="ListParagraph"/>
        <w:numPr>
          <w:ilvl w:val="0"/>
          <w:numId w:val="4"/>
        </w:numPr>
        <w:spacing w:after="70" w:line="276"/>
      </w:pPr>
      <w:r>
        <w:rPr>
          <w:rFonts w:ascii="Calibri" w:cs="Calibri" w:eastAsia="Calibri" w:hAnsi="Calibri"/>
          <w:sz w:val="21"/>
          <w:szCs w:val="21"/>
        </w:rPr>
        <w:t xml:space="preserve">Keep the Privy app secret and the Bridge key on the server only. They never go in the website code or in </w:t>
      </w:r>
      <w:r>
        <w:rPr>
          <w:rFonts w:ascii="Consolas" w:cs="Consolas" w:eastAsia="Consolas" w:hAnsi="Consolas"/>
          <w:sz w:val="19"/>
          <w:szCs w:val="19"/>
        </w:rPr>
        <w:t xml:space="preserve">.env</w:t>
      </w:r>
      <w:r>
        <w:rPr>
          <w:rFonts w:ascii="Calibri" w:cs="Calibri" w:eastAsia="Calibri" w:hAnsi="Calibri"/>
          <w:sz w:val="21"/>
          <w:szCs w:val="21"/>
        </w:rPr>
        <w:t xml:space="preserve"> files that reach the browser.</w:t>
      </w:r>
    </w:p>
    <w:p>
      <w:pPr>
        <w:pStyle w:val="ListParagraph"/>
        <w:numPr>
          <w:ilvl w:val="0"/>
          <w:numId w:val="4"/>
        </w:numPr>
        <w:spacing w:after="70" w:line="276"/>
      </w:pPr>
      <w:r>
        <w:rPr>
          <w:rFonts w:ascii="Consolas" w:cs="Consolas" w:eastAsia="Consolas" w:hAnsi="Consolas"/>
          <w:sz w:val="19"/>
          <w:szCs w:val="19"/>
        </w:rPr>
        <w:t xml:space="preserve">POST /bank/kyc</w:t>
      </w:r>
      <w:r>
        <w:rPr>
          <w:rFonts w:ascii="Calibri" w:cs="Calibri" w:eastAsia="Calibri" w:hAnsi="Calibri"/>
          <w:sz w:val="21"/>
          <w:szCs w:val="21"/>
        </w:rPr>
        <w:t xml:space="preserve"> starts Privy's identity check; </w:t>
      </w:r>
      <w:r>
        <w:rPr>
          <w:rFonts w:ascii="Consolas" w:cs="Consolas" w:eastAsia="Consolas" w:hAnsi="Consolas"/>
          <w:sz w:val="19"/>
          <w:szCs w:val="19"/>
        </w:rPr>
        <w:t xml:space="preserve">GET /bank/kyc</w:t>
      </w:r>
      <w:r>
        <w:rPr>
          <w:rFonts w:ascii="Calibri" w:cs="Calibri" w:eastAsia="Calibri" w:hAnsi="Calibri"/>
          <w:sz w:val="21"/>
          <w:szCs w:val="21"/>
        </w:rPr>
        <w:t xml:space="preserve"> returns its status.</w:t>
      </w:r>
    </w:p>
    <w:p>
      <w:pPr>
        <w:pStyle w:val="ListParagraph"/>
        <w:numPr>
          <w:ilvl w:val="0"/>
          <w:numId w:val="4"/>
        </w:numPr>
        <w:spacing w:after="70" w:line="276"/>
      </w:pPr>
      <w:r>
        <w:rPr>
          <w:rFonts w:ascii="Consolas" w:cs="Consolas" w:eastAsia="Consolas" w:hAnsi="Consolas"/>
          <w:sz w:val="19"/>
          <w:szCs w:val="19"/>
        </w:rPr>
        <w:t xml:space="preserve">POST /bank/account { currency }</w:t>
      </w:r>
      <w:r>
        <w:rPr>
          <w:rFonts w:ascii="Calibri" w:cs="Calibri" w:eastAsia="Calibri" w:hAnsi="Calibri"/>
          <w:sz w:val="21"/>
          <w:szCs w:val="21"/>
        </w:rPr>
        <w:t xml:space="preserve"> creates the user's deposit account (destination USDC on Base, the user's Privy wallet) with an Idempotency-Key, and returns the bank details. </w:t>
      </w:r>
      <w:r>
        <w:rPr>
          <w:rFonts w:ascii="Consolas" w:cs="Consolas" w:eastAsia="Consolas" w:hAnsi="Consolas"/>
          <w:sz w:val="19"/>
          <w:szCs w:val="19"/>
        </w:rPr>
        <w:t xml:space="preserve">GET /bank/account</w:t>
      </w:r>
      <w:r>
        <w:rPr>
          <w:rFonts w:ascii="Calibri" w:cs="Calibri" w:eastAsia="Calibri" w:hAnsi="Calibri"/>
          <w:sz w:val="21"/>
          <w:szCs w:val="21"/>
        </w:rPr>
        <w:t xml:space="preserve"> reads them back.</w:t>
      </w:r>
    </w:p>
    <w:p>
      <w:pPr>
        <w:pStyle w:val="ListParagraph"/>
        <w:numPr>
          <w:ilvl w:val="0"/>
          <w:numId w:val="4"/>
        </w:numPr>
        <w:spacing w:after="70" w:line="276"/>
      </w:pPr>
      <w:r>
        <w:rPr>
          <w:rFonts w:ascii="Calibri" w:cs="Calibri" w:eastAsia="Calibri" w:hAnsi="Calibri"/>
          <w:sz w:val="21"/>
          <w:szCs w:val="21"/>
        </w:rPr>
        <w:t xml:space="preserve">A webhook receiver for Privy's deposit lifecycle writes each transfer into </w:t>
      </w:r>
      <w:r>
        <w:rPr>
          <w:rFonts w:ascii="Consolas" w:cs="Consolas" w:eastAsia="Consolas" w:hAnsi="Consolas"/>
          <w:sz w:val="19"/>
          <w:szCs w:val="19"/>
        </w:rPr>
        <w:t xml:space="preserve">/deposits</w:t>
      </w:r>
      <w:r>
        <w:rPr>
          <w:rFonts w:ascii="Calibri" w:cs="Calibri" w:eastAsia="Calibri" w:hAnsi="Calibri"/>
          <w:sz w:val="21"/>
          <w:szCs w:val="21"/>
        </w:rPr>
        <w:t xml:space="preserve"> with </w:t>
      </w:r>
      <w:r>
        <w:rPr>
          <w:rFonts w:ascii="Consolas" w:cs="Consolas" w:eastAsia="Consolas" w:hAnsi="Consolas"/>
          <w:sz w:val="19"/>
          <w:szCs w:val="19"/>
        </w:rPr>
        <w:t xml:space="preserve">source: bank</w:t>
      </w:r>
      <w:r>
        <w:rPr>
          <w:rFonts w:ascii="Calibri" w:cs="Calibri" w:eastAsia="Calibri" w:hAnsi="Calibri"/>
          <w:sz w:val="21"/>
          <w:szCs w:val="21"/>
        </w:rPr>
        <w:t xml:space="preserve"> and two new states in front of the existing ones: </w:t>
      </w:r>
      <w:r>
        <w:rPr>
          <w:rFonts w:ascii="Consolas" w:cs="Consolas" w:eastAsia="Consolas" w:hAnsi="Consolas"/>
          <w:sz w:val="19"/>
          <w:szCs w:val="19"/>
        </w:rPr>
        <w:t xml:space="preserve">BANK_PENDING</w:t>
      </w:r>
      <w:r>
        <w:rPr>
          <w:rFonts w:ascii="Calibri" w:cs="Calibri" w:eastAsia="Calibri" w:hAnsi="Calibri"/>
          <w:sz w:val="21"/>
          <w:szCs w:val="21"/>
        </w:rPr>
        <w:t xml:space="preserve"> (transfer announced) → </w:t>
      </w:r>
      <w:r>
        <w:rPr>
          <w:rFonts w:ascii="Consolas" w:cs="Consolas" w:eastAsia="Consolas" w:hAnsi="Consolas"/>
          <w:sz w:val="19"/>
          <w:szCs w:val="19"/>
        </w:rPr>
        <w:t xml:space="preserve">BANK_ARRIVED</w:t>
      </w:r>
      <w:r>
        <w:rPr>
          <w:rFonts w:ascii="Calibri" w:cs="Calibri" w:eastAsia="Calibri" w:hAnsi="Calibri"/>
          <w:sz w:val="21"/>
          <w:szCs w:val="21"/>
        </w:rPr>
        <w:t xml:space="preserve"> (USDC in the user's wallet on Base). Once moved, the record joins the module's pipeline at </w:t>
      </w:r>
      <w:r>
        <w:rPr>
          <w:rFonts w:ascii="Consolas" w:cs="Consolas" w:eastAsia="Consolas" w:hAnsi="Consolas"/>
          <w:sz w:val="19"/>
          <w:szCs w:val="19"/>
        </w:rPr>
        <w:t xml:space="preserve">DETECTED</w:t>
      </w:r>
      <w:r>
        <w:rPr>
          <w:rFonts w:ascii="Calibri" w:cs="Calibri" w:eastAsia="Calibri" w:hAnsi="Calibri"/>
          <w:sz w:val="21"/>
          <w:szCs w:val="21"/>
        </w:rPr>
        <w:t xml:space="preserve">.</w:t>
      </w:r>
    </w:p>
    <w:p>
      <w:pPr>
        <w:pStyle w:val="ListParagraph"/>
        <w:numPr>
          <w:ilvl w:val="0"/>
          <w:numId w:val="4"/>
        </w:numPr>
        <w:spacing w:after="70" w:line="276"/>
      </w:pPr>
      <w:r>
        <w:rPr>
          <w:rFonts w:ascii="Calibri" w:cs="Calibri" w:eastAsia="Calibri" w:hAnsi="Calibri"/>
          <w:sz w:val="21"/>
          <w:szCs w:val="21"/>
        </w:rPr>
        <w:t xml:space="preserve">Turn on gas sponsorship for Base (and Base Sepolia) in the Privy dashboard.</w:t>
      </w:r>
    </w:p>
    <w:p>
      <w:pPr>
        <w:pStyle w:val="ListParagraph"/>
        <w:numPr>
          <w:ilvl w:val="0"/>
          <w:numId w:val="4"/>
        </w:numPr>
        <w:spacing w:after="70" w:line="276"/>
      </w:pPr>
      <w:r>
        <w:rPr>
          <w:rFonts w:ascii="Calibri" w:cs="Calibri" w:eastAsia="Calibri" w:hAnsi="Calibri"/>
          <w:b/>
          <w:bCs/>
          <w:sz w:val="21"/>
          <w:szCs w:val="21"/>
        </w:rPr>
        <w:t xml:space="preserve">Done when: </w:t>
      </w:r>
      <w:r>
        <w:rPr>
          <w:rFonts w:ascii="Calibri" w:cs="Calibri" w:eastAsia="Calibri" w:hAnsi="Calibri"/>
          <w:sz w:val="21"/>
          <w:szCs w:val="21"/>
        </w:rPr>
        <w:t xml:space="preserve">a sandbox bank transfer (Privy's </w:t>
      </w:r>
      <w:r>
        <w:rPr>
          <w:rFonts w:ascii="Consolas" w:cs="Consolas" w:eastAsia="Consolas" w:hAnsi="Consolas"/>
          <w:sz w:val="19"/>
          <w:szCs w:val="19"/>
        </w:rPr>
        <w:t xml:space="preserve">bridge-sandbox</w:t>
      </w:r>
      <w:r>
        <w:rPr>
          <w:rFonts w:ascii="Calibri" w:cs="Calibri" w:eastAsia="Calibri" w:hAnsi="Calibri"/>
          <w:sz w:val="21"/>
          <w:szCs w:val="21"/>
        </w:rPr>
        <w:t xml:space="preserve"> provider) puts test USDC in an email user's wallet on Base Sepolia, and the webhook creates a </w:t>
      </w:r>
      <w:r>
        <w:rPr>
          <w:rFonts w:ascii="Consolas" w:cs="Consolas" w:eastAsia="Consolas" w:hAnsi="Consolas"/>
          <w:sz w:val="19"/>
          <w:szCs w:val="19"/>
        </w:rPr>
        <w:t xml:space="preserve">BANK_ARRIVED</w:t>
      </w:r>
      <w:r>
        <w:rPr>
          <w:rFonts w:ascii="Calibri" w:cs="Calibri" w:eastAsia="Calibri" w:hAnsi="Calibri"/>
          <w:sz w:val="21"/>
          <w:szCs w:val="21"/>
        </w:rPr>
        <w:t xml:space="preserve"> record.</w:t>
      </w:r>
    </w:p>
    <w:p>
      <w:pPr>
        <w:pStyle w:val="Heading2"/>
        <w:spacing w:after="80" w:before="200"/>
      </w:pPr>
      <w:r>
        <w:rPr>
          <w:rFonts w:ascii="Calibri" w:cs="Calibri" w:eastAsia="Calibri" w:hAnsi="Calibri"/>
          <w:b/>
          <w:bCs/>
          <w:color w:val="5B48D6"/>
          <w:sz w:val="23"/>
          <w:szCs w:val="23"/>
        </w:rPr>
        <w:t xml:space="preserve">C. Dashboard</w:t>
      </w:r>
    </w:p>
    <w:p>
      <w:pPr>
        <w:pStyle w:val="ListParagraph"/>
        <w:numPr>
          <w:ilvl w:val="0"/>
          <w:numId w:val="4"/>
        </w:numPr>
        <w:spacing w:after="70" w:line="276"/>
      </w:pPr>
      <w:r>
        <w:rPr>
          <w:rFonts w:ascii="Calibri" w:cs="Calibri" w:eastAsia="Calibri" w:hAnsi="Calibri"/>
          <w:b/>
          <w:bCs/>
          <w:sz w:val="21"/>
          <w:szCs w:val="21"/>
        </w:rPr>
        <w:t xml:space="preserve">From bank</w:t>
      </w:r>
      <w:r>
        <w:rPr>
          <w:rFonts w:ascii="Calibri" w:cs="Calibri" w:eastAsia="Calibri" w:hAnsi="Calibri"/>
          <w:sz w:val="21"/>
          <w:szCs w:val="21"/>
        </w:rPr>
        <w:t xml:space="preserve"> tab, three states: not verified (a Verify identity button); verified (bank details with copy buttons and what to expect); a transfer on its way (the existing tracker; the bank route already exists in the prototype's code).</w:t>
      </w:r>
    </w:p>
    <w:p>
      <w:pPr>
        <w:pStyle w:val="ListParagraph"/>
        <w:numPr>
          <w:ilvl w:val="0"/>
          <w:numId w:val="4"/>
        </w:numPr>
        <w:spacing w:after="70" w:line="276"/>
      </w:pPr>
      <w:r>
        <w:rPr>
          <w:rFonts w:ascii="Calibri" w:cs="Calibri" w:eastAsia="Calibri" w:hAnsi="Calibri"/>
          <w:sz w:val="21"/>
          <w:szCs w:val="21"/>
        </w:rPr>
        <w:t xml:space="preserve">When a transfer arrives: the </w:t>
      </w:r>
      <w:r>
        <w:rPr>
          <w:rFonts w:ascii="Calibri" w:cs="Calibri" w:eastAsia="Calibri" w:hAnsi="Calibri"/>
          <w:b/>
          <w:bCs/>
          <w:sz w:val="21"/>
          <w:szCs w:val="21"/>
        </w:rPr>
        <w:t xml:space="preserve">Move to Balcore</w:t>
      </w:r>
      <w:r>
        <w:rPr>
          <w:rFonts w:ascii="Calibri" w:cs="Calibri" w:eastAsia="Calibri" w:hAnsi="Calibri"/>
          <w:sz w:val="21"/>
          <w:szCs w:val="21"/>
        </w:rPr>
        <w:t xml:space="preserve"> button sends the USDC to the deposit address on Base with Privy's sponsored transaction (</w:t>
      </w:r>
      <w:r>
        <w:rPr>
          <w:rFonts w:ascii="Consolas" w:cs="Consolas" w:eastAsia="Consolas" w:hAnsi="Consolas"/>
          <w:sz w:val="19"/>
          <w:szCs w:val="19"/>
        </w:rPr>
        <w:t xml:space="preserve">sponsor: true</w:t>
      </w:r>
      <w:r>
        <w:rPr>
          <w:rFonts w:ascii="Calibri" w:cs="Calibri" w:eastAsia="Calibri" w:hAnsi="Calibri"/>
          <w:sz w:val="21"/>
          <w:szCs w:val="21"/>
        </w:rPr>
        <w:t xml:space="preserve">). wagmi does not pass that flag, so this one call uses Privy's hook directly.</w:t>
      </w:r>
    </w:p>
    <w:p>
      <w:pPr>
        <w:pStyle w:val="ListParagraph"/>
        <w:numPr>
          <w:ilvl w:val="0"/>
          <w:numId w:val="4"/>
        </w:numPr>
        <w:spacing w:after="70" w:line="276"/>
      </w:pPr>
      <w:r>
        <w:rPr>
          <w:rFonts w:ascii="Calibri" w:cs="Calibri" w:eastAsia="Calibri" w:hAnsi="Calibri"/>
          <w:sz w:val="21"/>
          <w:szCs w:val="21"/>
        </w:rPr>
        <w:t xml:space="preserve">Remove what is fake today: the Coinbase wording, the made-up 1% fee, the $5 minimum and the Opening Coinbase… button that never resets (UI audit item 7).</w:t>
      </w:r>
    </w:p>
    <w:p>
      <w:pPr>
        <w:pStyle w:val="ListParagraph"/>
        <w:numPr>
          <w:ilvl w:val="0"/>
          <w:numId w:val="4"/>
        </w:numPr>
        <w:spacing w:after="70" w:line="276"/>
      </w:pPr>
      <w:r>
        <w:rPr>
          <w:rFonts w:ascii="Calibri" w:cs="Calibri" w:eastAsia="Calibri" w:hAnsi="Calibri"/>
          <w:sz w:val="21"/>
          <w:szCs w:val="21"/>
        </w:rPr>
        <w:t xml:space="preserve">Show the real pool minimum. A bank deposit smaller than it stays Available until the user tops up; say so before they send money, not after.</w:t>
      </w:r>
    </w:p>
    <w:p>
      <w:pPr>
        <w:pStyle w:val="ListParagraph"/>
        <w:numPr>
          <w:ilvl w:val="0"/>
          <w:numId w:val="4"/>
        </w:numPr>
        <w:spacing w:after="70" w:line="276"/>
      </w:pPr>
      <w:r>
        <w:rPr>
          <w:rFonts w:ascii="Calibri" w:cs="Calibri" w:eastAsia="Calibri" w:hAnsi="Calibri"/>
          <w:sz w:val="21"/>
          <w:szCs w:val="21"/>
        </w:rPr>
        <w:t xml:space="preserve">Show the tab to email and Google users. Privy's bank deposits attach to a Privy wallet, so wallet-extension users are pointed to From exchange instead (confirm with Privy).</w:t>
      </w:r>
    </w:p>
    <w:p>
      <w:pPr>
        <w:pStyle w:val="ListParagraph"/>
        <w:numPr>
          <w:ilvl w:val="0"/>
          <w:numId w:val="4"/>
        </w:numPr>
        <w:spacing w:after="70" w:line="276"/>
      </w:pPr>
      <w:r>
        <w:rPr>
          <w:rFonts w:ascii="Calibri" w:cs="Calibri" w:eastAsia="Calibri" w:hAnsi="Calibri"/>
          <w:b/>
          <w:bCs/>
          <w:sz w:val="21"/>
          <w:szCs w:val="21"/>
        </w:rPr>
        <w:t xml:space="preserve">Done when: </w:t>
      </w:r>
      <w:r>
        <w:rPr>
          <w:rFonts w:ascii="Calibri" w:cs="Calibri" w:eastAsia="Calibri" w:hAnsi="Calibri"/>
          <w:sz w:val="21"/>
          <w:szCs w:val="21"/>
        </w:rPr>
        <w:t xml:space="preserve">a flagged test user verifies, sees bank details, a sandbox transfer appears in the tracker, one tap moves it, it becomes Available, and one signature deposits it, all without holding any AVAX or ETH.</w:t>
      </w:r>
    </w:p>
    <w:p>
      <w:pPr>
        <w:pStyle w:val="Heading2"/>
        <w:spacing w:after="80" w:before="200"/>
      </w:pPr>
      <w:r>
        <w:rPr>
          <w:rFonts w:ascii="Calibri" w:cs="Calibri" w:eastAsia="Calibri" w:hAnsi="Calibri"/>
          <w:b/>
          <w:bCs/>
          <w:color w:val="5B48D6"/>
          <w:sz w:val="23"/>
          <w:szCs w:val="23"/>
        </w:rPr>
        <w:t xml:space="preserve">D. Accounts, compliance and cost</w:t>
      </w:r>
    </w:p>
    <w:p>
      <w:pPr>
        <w:pStyle w:val="ListParagraph"/>
        <w:numPr>
          <w:ilvl w:val="0"/>
          <w:numId w:val="4"/>
        </w:numPr>
        <w:spacing w:after="70" w:line="276"/>
      </w:pPr>
      <w:r>
        <w:rPr>
          <w:rFonts w:ascii="Calibri" w:cs="Calibri" w:eastAsia="Calibri" w:hAnsi="Calibri"/>
          <w:sz w:val="21"/>
          <w:szCs w:val="21"/>
        </w:rPr>
        <w:t xml:space="preserve">Connect Bridge in the Privy dashboard (Onramps → Bridge → Configure) and enable server-side flows.</w:t>
      </w:r>
    </w:p>
    <w:p>
      <w:pPr>
        <w:pStyle w:val="ListParagraph"/>
        <w:numPr>
          <w:ilvl w:val="0"/>
          <w:numId w:val="4"/>
        </w:numPr>
        <w:spacing w:after="70" w:line="276"/>
      </w:pPr>
      <w:r>
        <w:rPr>
          <w:rFonts w:ascii="Calibri" w:cs="Calibri" w:eastAsia="Calibri" w:hAnsi="Calibri"/>
          <w:sz w:val="21"/>
          <w:szCs w:val="21"/>
        </w:rPr>
        <w:t xml:space="preserve">Expect business verification (KYB) for Balcore itself before production. Ask Privy what they need and how long it takes.</w:t>
      </w:r>
    </w:p>
    <w:p>
      <w:pPr>
        <w:pStyle w:val="ListParagraph"/>
        <w:numPr>
          <w:ilvl w:val="0"/>
          <w:numId w:val="4"/>
        </w:numPr>
        <w:spacing w:after="70" w:line="276"/>
      </w:pPr>
      <w:r>
        <w:rPr>
          <w:rFonts w:ascii="Calibri" w:cs="Calibri" w:eastAsia="Calibri" w:hAnsi="Calibri"/>
          <w:sz w:val="21"/>
          <w:szCs w:val="21"/>
        </w:rPr>
        <w:t xml:space="preserve">Fees are not published in the docs. Get a written quote for bank deposits (per-transfer and conversion) before quoting users any number.</w:t>
      </w:r>
    </w:p>
    <w:p>
      <w:pPr>
        <w:pStyle w:val="ListParagraph"/>
        <w:numPr>
          <w:ilvl w:val="0"/>
          <w:numId w:val="4"/>
        </w:numPr>
        <w:spacing w:after="70" w:line="276"/>
      </w:pPr>
      <w:r>
        <w:rPr>
          <w:rFonts w:ascii="Calibri" w:cs="Calibri" w:eastAsia="Calibri" w:hAnsi="Calibri"/>
          <w:sz w:val="21"/>
          <w:szCs w:val="21"/>
        </w:rPr>
        <w:t xml:space="preserve">Add Terms and Privacy Policy links to the Privy config; identity checks show them.</w:t>
      </w:r>
    </w:p>
    <w:p>
      <w:pPr>
        <w:pStyle w:val="Heading1"/>
        <w:spacing w:after="110" w:before="300"/>
      </w:pPr>
      <w:r>
        <w:rPr>
          <w:rFonts w:ascii="Calibri" w:cs="Calibri" w:eastAsia="Calibri" w:hAnsi="Calibri"/>
          <w:b/>
          <w:bCs/>
          <w:color w:val="171630"/>
          <w:sz w:val="28"/>
          <w:szCs w:val="28"/>
        </w:rPr>
        <w:t xml:space="preserve">Order of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460"/>
        <w:gridCol w:w="3000"/>
      </w:tblGrid>
      <w:tr>
        <w:trPr>
          <w:tblHeader/>
        </w:trPr>
        <w:tc>
          <w:tcPr>
            <w:tcW w:type="dxa" w:w="1900"/>
            <w:tcBorders>
              <w:top w:val="single" w:color="C9C6DE" w:sz="4"/>
              <w:left w:val="single" w:color="C9C6DE" w:sz="4"/>
              <w:bottom w:val="single" w:color="C9C6DE" w:sz="4"/>
              <w:right w:val="single" w:color="C9C6DE" w:sz="4"/>
            </w:tcBorders>
            <w:shd w:fill="EEEDF7" w:color="auto" w:val="clear"/>
            <w:tcMar>
              <w:top w:type="dxa" w:w="70"/>
              <w:left w:type="dxa" w:w="110"/>
              <w:bottom w:type="dxa" w:w="70"/>
              <w:right w:type="dxa" w:w="110"/>
            </w:tcMar>
          </w:tcPr>
          <w:p>
            <w:pPr>
              <w:spacing w:after="20"/>
            </w:pPr>
            <w:r>
              <w:rPr>
                <w:rFonts w:ascii="Calibri" w:cs="Calibri" w:eastAsia="Calibri" w:hAnsi="Calibri"/>
                <w:b/>
                <w:bCs/>
                <w:sz w:val="19"/>
                <w:szCs w:val="19"/>
              </w:rPr>
              <w:t xml:space="preserve">When</w:t>
            </w:r>
          </w:p>
        </w:tc>
        <w:tc>
          <w:tcPr>
            <w:tcW w:type="dxa" w:w="4460"/>
            <w:tcBorders>
              <w:top w:val="single" w:color="C9C6DE" w:sz="4"/>
              <w:left w:val="single" w:color="C9C6DE" w:sz="4"/>
              <w:bottom w:val="single" w:color="C9C6DE" w:sz="4"/>
              <w:right w:val="single" w:color="C9C6DE" w:sz="4"/>
            </w:tcBorders>
            <w:shd w:fill="EEEDF7" w:color="auto" w:val="clear"/>
            <w:tcMar>
              <w:top w:type="dxa" w:w="70"/>
              <w:left w:type="dxa" w:w="110"/>
              <w:bottom w:type="dxa" w:w="70"/>
              <w:right w:type="dxa" w:w="110"/>
            </w:tcMar>
          </w:tcPr>
          <w:p>
            <w:pPr>
              <w:spacing w:after="20"/>
            </w:pPr>
            <w:r>
              <w:rPr>
                <w:rFonts w:ascii="Calibri" w:cs="Calibri" w:eastAsia="Calibri" w:hAnsi="Calibri"/>
                <w:b/>
                <w:bCs/>
                <w:sz w:val="19"/>
                <w:szCs w:val="19"/>
              </w:rPr>
              <w:t xml:space="preserve">What</w:t>
            </w:r>
          </w:p>
        </w:tc>
        <w:tc>
          <w:tcPr>
            <w:tcW w:type="dxa" w:w="3000"/>
            <w:tcBorders>
              <w:top w:val="single" w:color="C9C6DE" w:sz="4"/>
              <w:left w:val="single" w:color="C9C6DE" w:sz="4"/>
              <w:bottom w:val="single" w:color="C9C6DE" w:sz="4"/>
              <w:right w:val="single" w:color="C9C6DE" w:sz="4"/>
            </w:tcBorders>
            <w:shd w:fill="EEEDF7" w:color="auto" w:val="clear"/>
            <w:tcMar>
              <w:top w:type="dxa" w:w="70"/>
              <w:left w:type="dxa" w:w="110"/>
              <w:bottom w:type="dxa" w:w="70"/>
              <w:right w:type="dxa" w:w="110"/>
            </w:tcMar>
          </w:tcPr>
          <w:p>
            <w:pPr>
              <w:spacing w:after="20"/>
            </w:pPr>
            <w:r>
              <w:rPr>
                <w:rFonts w:ascii="Calibri" w:cs="Calibri" w:eastAsia="Calibri" w:hAnsi="Calibri"/>
                <w:b/>
                <w:bCs/>
                <w:sz w:val="19"/>
                <w:szCs w:val="19"/>
              </w:rPr>
              <w:t xml:space="preserve">Who</w:t>
            </w:r>
          </w:p>
        </w:tc>
      </w:tr>
      <w:tr>
        <w:trPr>
          <w:tblHeader w:val="false"/>
        </w:trPr>
        <w:tc>
          <w:tcPr>
            <w:tcW w:type="dxa" w:w="1900"/>
            <w:tcBorders>
              <w:top w:val="single" w:color="C9C6DE" w:sz="4"/>
              <w:left w:val="single" w:color="C9C6DE" w:sz="4"/>
              <w:bottom w:val="single" w:color="C9C6DE" w:sz="4"/>
              <w:right w:val="single" w:color="C9C6DE"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Now → 15 Sep summit</w:t>
            </w:r>
          </w:p>
        </w:tc>
        <w:tc>
          <w:tcPr>
            <w:tcW w:type="dxa" w:w="4460"/>
            <w:tcBorders>
              <w:top w:val="single" w:color="C9C6DE" w:sz="4"/>
              <w:left w:val="single" w:color="C9C6DE" w:sz="4"/>
              <w:bottom w:val="single" w:color="C9C6DE" w:sz="4"/>
              <w:right w:val="single" w:color="C9C6DE"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From bank tab reads “Coming soon”, with one honest line about what is coming. Remove the fake Coinbase flow. Nothing real is shown as working.</w:t>
            </w:r>
          </w:p>
        </w:tc>
        <w:tc>
          <w:tcPr>
            <w:tcW w:type="dxa" w:w="3000"/>
            <w:tcBorders>
              <w:top w:val="single" w:color="C9C6DE" w:sz="4"/>
              <w:left w:val="single" w:color="C9C6DE" w:sz="4"/>
              <w:bottom w:val="single" w:color="C9C6DE" w:sz="4"/>
              <w:right w:val="single" w:color="C9C6DE"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Dashboard, about an hour</w:t>
            </w:r>
          </w:p>
        </w:tc>
      </w:tr>
      <w:tr>
        <w:trPr>
          <w:tblHeader w:val="false"/>
        </w:trPr>
        <w:tc>
          <w:tcPr>
            <w:tcW w:type="dxa" w:w="1900"/>
            <w:tcBorders>
              <w:top w:val="single" w:color="C9C6DE" w:sz="4"/>
              <w:left w:val="single" w:color="C9C6DE" w:sz="4"/>
              <w:bottom w:val="single" w:color="C9C6DE" w:sz="4"/>
              <w:right w:val="single" w:color="C9C6DE"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Phase 1</w:t>
            </w:r>
          </w:p>
        </w:tc>
        <w:tc>
          <w:tcPr>
            <w:tcW w:type="dxa" w:w="4460"/>
            <w:tcBorders>
              <w:top w:val="single" w:color="C9C6DE" w:sz="4"/>
              <w:left w:val="single" w:color="C9C6DE" w:sz="4"/>
              <w:bottom w:val="single" w:color="C9C6DE" w:sz="4"/>
              <w:right w:val="single" w:color="C9C6DE"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Deposit from any chain, per its one-week plan. Nothing bank-specific; this is the foundation.</w:t>
            </w:r>
          </w:p>
        </w:tc>
        <w:tc>
          <w:tcPr>
            <w:tcW w:type="dxa" w:w="3000"/>
            <w:tcBorders>
              <w:top w:val="single" w:color="C9C6DE" w:sz="4"/>
              <w:left w:val="single" w:color="C9C6DE" w:sz="4"/>
              <w:bottom w:val="single" w:color="C9C6DE" w:sz="4"/>
              <w:right w:val="single" w:color="C9C6DE"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Contracts, backend, dashboard</w:t>
            </w:r>
          </w:p>
        </w:tc>
      </w:tr>
      <w:tr>
        <w:trPr>
          <w:tblHeader w:val="false"/>
        </w:trPr>
        <w:tc>
          <w:tcPr>
            <w:tcW w:type="dxa" w:w="1900"/>
            <w:tcBorders>
              <w:top w:val="single" w:color="C9C6DE" w:sz="4"/>
              <w:left w:val="single" w:color="C9C6DE" w:sz="4"/>
              <w:bottom w:val="single" w:color="C9C6DE" w:sz="4"/>
              <w:right w:val="single" w:color="C9C6DE"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Phase 2</w:t>
            </w:r>
          </w:p>
        </w:tc>
        <w:tc>
          <w:tcPr>
            <w:tcW w:type="dxa" w:w="4460"/>
            <w:tcBorders>
              <w:top w:val="single" w:color="C9C6DE" w:sz="4"/>
              <w:left w:val="single" w:color="C9C6DE" w:sz="4"/>
              <w:bottom w:val="single" w:color="C9C6DE" w:sz="4"/>
              <w:right w:val="single" w:color="C9C6DE"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Bank on testnet: Bridge sandbox, KYC, deposit account, webhook, From bank tab, one-tap hop on Base Sepolia. Can start in the module's second half.</w:t>
            </w:r>
          </w:p>
        </w:tc>
        <w:tc>
          <w:tcPr>
            <w:tcW w:type="dxa" w:w="3000"/>
            <w:tcBorders>
              <w:top w:val="single" w:color="C9C6DE" w:sz="4"/>
              <w:left w:val="single" w:color="C9C6DE" w:sz="4"/>
              <w:bottom w:val="single" w:color="C9C6DE" w:sz="4"/>
              <w:right w:val="single" w:color="C9C6DE"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Backend + dashboard, est. 3–4 days</w:t>
            </w:r>
          </w:p>
        </w:tc>
      </w:tr>
      <w:tr>
        <w:trPr>
          <w:tblHeader w:val="false"/>
        </w:trPr>
        <w:tc>
          <w:tcPr>
            <w:tcW w:type="dxa" w:w="1900"/>
            <w:tcBorders>
              <w:top w:val="single" w:color="C9C6DE" w:sz="4"/>
              <w:left w:val="single" w:color="C9C6DE" w:sz="4"/>
              <w:bottom w:val="single" w:color="C9C6DE" w:sz="4"/>
              <w:right w:val="single" w:color="C9C6DE"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Phase 3</w:t>
            </w:r>
          </w:p>
        </w:tc>
        <w:tc>
          <w:tcPr>
            <w:tcW w:type="dxa" w:w="4460"/>
            <w:tcBorders>
              <w:top w:val="single" w:color="C9C6DE" w:sz="4"/>
              <w:left w:val="single" w:color="C9C6DE" w:sz="4"/>
              <w:bottom w:val="single" w:color="C9C6DE" w:sz="4"/>
              <w:right w:val="single" w:color="C9C6DE"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Mainnet for US users behind the module's per-deposit and daily caps, once the module's audit clears. EU next.</w:t>
            </w:r>
          </w:p>
        </w:tc>
        <w:tc>
          <w:tcPr>
            <w:tcW w:type="dxa" w:w="3000"/>
            <w:tcBorders>
              <w:top w:val="single" w:color="C9C6DE" w:sz="4"/>
              <w:left w:val="single" w:color="C9C6DE" w:sz="4"/>
              <w:bottom w:val="single" w:color="C9C6DE" w:sz="4"/>
              <w:right w:val="single" w:color="C9C6DE"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Backend, CTO review</w:t>
            </w:r>
          </w:p>
        </w:tc>
      </w:tr>
      <w:tr>
        <w:trPr>
          <w:tblHeader w:val="false"/>
        </w:trPr>
        <w:tc>
          <w:tcPr>
            <w:tcW w:type="dxa" w:w="1900"/>
            <w:tcBorders>
              <w:top w:val="single" w:color="C9C6DE" w:sz="4"/>
              <w:left w:val="single" w:color="C9C6DE" w:sz="4"/>
              <w:bottom w:val="single" w:color="C9C6DE" w:sz="4"/>
              <w:right w:val="single" w:color="C9C6DE"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Later</w:t>
            </w:r>
          </w:p>
        </w:tc>
        <w:tc>
          <w:tcPr>
            <w:tcW w:type="dxa" w:w="4460"/>
            <w:tcBorders>
              <w:top w:val="single" w:color="C9C6DE" w:sz="4"/>
              <w:left w:val="single" w:color="C9C6DE" w:sz="4"/>
              <w:bottom w:val="single" w:color="C9C6DE" w:sz="4"/>
              <w:right w:val="single" w:color="C9C6DE"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Automatic hop (option B), card on-ramp in the same tab, Stripe direct to Avalanche for US users.</w:t>
            </w:r>
          </w:p>
        </w:tc>
        <w:tc>
          <w:tcPr>
            <w:tcW w:type="dxa" w:w="3000"/>
            <w:tcBorders>
              <w:top w:val="single" w:color="C9C6DE" w:sz="4"/>
              <w:left w:val="single" w:color="C9C6DE" w:sz="4"/>
              <w:bottom w:val="single" w:color="C9C6DE" w:sz="4"/>
              <w:right w:val="single" w:color="C9C6DE"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Backend + dashboard</w:t>
            </w:r>
          </w:p>
        </w:tc>
      </w:tr>
    </w:tbl>
    <w:p>
      <w:pPr>
        <w:spacing w:after="80"/>
      </w:pPr>
    </w:p>
    <w:p>
      <w:pPr>
        <w:pStyle w:val="Heading1"/>
        <w:spacing w:after="110" w:before="300"/>
      </w:pPr>
      <w:r>
        <w:rPr>
          <w:rFonts w:ascii="Calibri" w:cs="Calibri" w:eastAsia="Calibri" w:hAnsi="Calibri"/>
          <w:b/>
          <w:bCs/>
          <w:color w:val="171630"/>
          <w:sz w:val="28"/>
          <w:szCs w:val="28"/>
        </w:rPr>
        <w:t xml:space="preserve">Decisions needed</w:t>
      </w:r>
    </w:p>
    <w:p>
      <w:pPr>
        <w:pStyle w:val="ListParagraph"/>
        <w:numPr>
          <w:ilvl w:val="0"/>
          <w:numId w:val="5"/>
        </w:numPr>
        <w:spacing w:after="70" w:line="276"/>
      </w:pPr>
      <w:r>
        <w:rPr>
          <w:rFonts w:ascii="Calibri" w:cs="Calibri" w:eastAsia="Calibri" w:hAnsi="Calibri"/>
          <w:b/>
          <w:bCs/>
          <w:sz w:val="21"/>
          <w:szCs w:val="21"/>
        </w:rPr>
        <w:t xml:space="preserve">Where do the first bank users bank?</w:t>
      </w:r>
      <w:r>
        <w:rPr>
          <w:rFonts w:ascii="Calibri" w:cs="Calibri" w:eastAsia="Calibri" w:hAnsi="Calibri"/>
          <w:sz w:val="21"/>
          <w:szCs w:val="21"/>
        </w:rPr>
        <w:t xml:space="preserve"> US, Europe, India or elsewhere. This picks the provider; India has no verified option yet.</w:t>
      </w:r>
    </w:p>
    <w:p>
      <w:pPr>
        <w:pStyle w:val="ListParagraph"/>
        <w:numPr>
          <w:ilvl w:val="0"/>
          <w:numId w:val="5"/>
        </w:numPr>
        <w:spacing w:after="70" w:line="276"/>
      </w:pPr>
      <w:r>
        <w:rPr>
          <w:rFonts w:ascii="Calibri" w:cs="Calibri" w:eastAsia="Calibri" w:hAnsi="Calibri"/>
          <w:b/>
          <w:bCs/>
          <w:sz w:val="21"/>
          <w:szCs w:val="21"/>
        </w:rPr>
        <w:t xml:space="preserve">Accept the identity check?</w:t>
      </w:r>
      <w:r>
        <w:rPr>
          <w:rFonts w:ascii="Calibri" w:cs="Calibri" w:eastAsia="Calibri" w:hAnsi="Calibri"/>
          <w:sz w:val="21"/>
          <w:szCs w:val="21"/>
        </w:rPr>
        <w:t xml:space="preserve"> Users hand ID to Bridge, and Balcore goes through business verification.</w:t>
      </w:r>
    </w:p>
    <w:p>
      <w:pPr>
        <w:pStyle w:val="ListParagraph"/>
        <w:numPr>
          <w:ilvl w:val="0"/>
          <w:numId w:val="5"/>
        </w:numPr>
        <w:spacing w:after="70" w:line="276"/>
      </w:pPr>
      <w:r>
        <w:rPr>
          <w:rFonts w:ascii="Calibri" w:cs="Calibri" w:eastAsia="Calibri" w:hAnsi="Calibri"/>
          <w:b/>
          <w:bCs/>
          <w:sz w:val="21"/>
          <w:szCs w:val="21"/>
        </w:rPr>
        <w:t xml:space="preserve">One tap or automatic</w:t>
      </w:r>
      <w:r>
        <w:rPr>
          <w:rFonts w:ascii="Calibri" w:cs="Calibri" w:eastAsia="Calibri" w:hAnsi="Calibri"/>
          <w:sz w:val="21"/>
          <w:szCs w:val="21"/>
        </w:rPr>
        <w:t xml:space="preserve"> for the Base hop at launch. Recommendation: one tap first.</w:t>
      </w:r>
    </w:p>
    <w:p>
      <w:pPr>
        <w:pStyle w:val="ListParagraph"/>
        <w:numPr>
          <w:ilvl w:val="0"/>
          <w:numId w:val="5"/>
        </w:numPr>
        <w:spacing w:after="70" w:line="276"/>
      </w:pPr>
      <w:r>
        <w:rPr>
          <w:rFonts w:ascii="Calibri" w:cs="Calibri" w:eastAsia="Calibri" w:hAnsi="Calibri"/>
          <w:b/>
          <w:bCs/>
          <w:sz w:val="21"/>
          <w:szCs w:val="21"/>
        </w:rPr>
        <w:t xml:space="preserve">Minimum bank deposit</w:t>
      </w:r>
      <w:r>
        <w:rPr>
          <w:rFonts w:ascii="Calibri" w:cs="Calibri" w:eastAsia="Calibri" w:hAnsi="Calibri"/>
          <w:sz w:val="21"/>
          <w:szCs w:val="21"/>
        </w:rPr>
        <w:t xml:space="preserve">, in relation to the pool minimum and Bridge's fees once quoted.</w:t>
      </w:r>
    </w:p>
    <w:p>
      <w:pPr>
        <w:pStyle w:val="Heading1"/>
        <w:spacing w:after="110" w:before="300"/>
      </w:pPr>
      <w:r>
        <w:rPr>
          <w:rFonts w:ascii="Calibri" w:cs="Calibri" w:eastAsia="Calibri" w:hAnsi="Calibri"/>
          <w:b/>
          <w:bCs/>
          <w:color w:val="171630"/>
          <w:sz w:val="28"/>
          <w:szCs w:val="28"/>
        </w:rPr>
        <w:t xml:space="preserve">Review notes on Deposit from any chain</w:t>
      </w:r>
    </w:p>
    <w:p>
      <w:pPr>
        <w:spacing w:after="120" w:line="276"/>
      </w:pPr>
      <w:r>
        <w:rPr>
          <w:rFonts w:ascii="Calibri" w:cs="Calibri" w:eastAsia="Calibri" w:hAnsi="Calibri"/>
          <w:sz w:val="21"/>
          <w:szCs w:val="21"/>
        </w:rPr>
        <w:t xml:space="preserve">Found while reading the module brief. Worth fixing before the contracts are frozen for audit, because they touch the “Balcore can never redirect funds” promise:</w:t>
      </w:r>
    </w:p>
    <w:p>
      <w:pPr>
        <w:pStyle w:val="ListParagraph"/>
        <w:numPr>
          <w:ilvl w:val="0"/>
          <w:numId w:val="6"/>
        </w:numPr>
        <w:spacing w:after="70" w:line="276"/>
      </w:pPr>
      <w:r>
        <w:rPr>
          <w:rFonts w:ascii="Calibri" w:cs="Calibri" w:eastAsia="Calibri" w:hAnsi="Calibri"/>
          <w:b/>
          <w:bCs/>
          <w:sz w:val="21"/>
          <w:szCs w:val="21"/>
        </w:rPr>
        <w:t xml:space="preserve">The factory's initialize can be front-run.</w:t>
      </w:r>
      <w:r>
        <w:rPr>
          <w:rFonts w:ascii="Calibri" w:cs="Calibri" w:eastAsia="Calibri" w:hAnsi="Calibri"/>
          <w:sz w:val="21"/>
          <w:szCs w:val="21"/>
        </w:rPr>
        <w:t xml:space="preserve"> The factory is deployed with no constructor arguments and initialized in a separate transaction. Whoever calls initialize first on a chain sets the CCTP and Bank addresses for every user there, which would redirect funds. Fix: deploy and initialize in the same transaction through a helper, or hard-code the one allowed initializer address in the factory's code (a constant keeps the address identical on every chain).</w:t>
      </w:r>
    </w:p>
    <w:p>
      <w:pPr>
        <w:pStyle w:val="ListParagraph"/>
        <w:numPr>
          <w:ilvl w:val="0"/>
          <w:numId w:val="6"/>
        </w:numPr>
        <w:spacing w:after="70" w:line="276"/>
      </w:pPr>
      <w:r>
        <w:rPr>
          <w:rFonts w:ascii="Calibri" w:cs="Calibri" w:eastAsia="Calibri" w:hAnsi="Calibri"/>
          <w:b/>
          <w:bCs/>
          <w:sz w:val="21"/>
          <w:szCs w:val="21"/>
        </w:rPr>
        <w:t xml:space="preserve">The Bank address can never change.</w:t>
      </w:r>
      <w:r>
        <w:rPr>
          <w:rFonts w:ascii="Calibri" w:cs="Calibri" w:eastAsia="Calibri" w:hAnsi="Calibri"/>
          <w:sz w:val="21"/>
          <w:szCs w:val="21"/>
        </w:rPr>
        <w:t xml:space="preserve"> With no admin, every deposit contract points at the v1 Bank forever. When the v2 Bank ships, either a new factory is deployed (users' deposit addresses change) or a timelocked pointer is added (which weakens “no admin”). Decide before the freeze.</w:t>
      </w:r>
    </w:p>
    <w:p>
      <w:pPr>
        <w:pStyle w:val="ListParagraph"/>
        <w:numPr>
          <w:ilvl w:val="0"/>
          <w:numId w:val="6"/>
        </w:numPr>
        <w:spacing w:after="70" w:line="276"/>
      </w:pPr>
      <w:r>
        <w:rPr>
          <w:rFonts w:ascii="Calibri" w:cs="Calibri" w:eastAsia="Calibri" w:hAnsi="Calibri"/>
          <w:b/>
          <w:bCs/>
          <w:sz w:val="21"/>
          <w:szCs w:val="21"/>
        </w:rPr>
        <w:t xml:space="preserve">rescue() also accepts USDC.</w:t>
      </w:r>
      <w:r>
        <w:rPr>
          <w:rFonts w:ascii="Calibri" w:cs="Calibri" w:eastAsia="Calibri" w:hAnsi="Calibri"/>
          <w:sz w:val="21"/>
          <w:szCs w:val="21"/>
        </w:rPr>
        <w:t xml:space="preserve"> As sketched, the user can send held USDC to any address. That is their own money, but it is a third direction the public trust statement does not mention, and it leaves </w:t>
      </w:r>
      <w:r>
        <w:rPr>
          <w:rFonts w:ascii="Consolas" w:cs="Consolas" w:eastAsia="Consolas" w:hAnsi="Consolas"/>
          <w:sz w:val="19"/>
          <w:szCs w:val="19"/>
        </w:rPr>
        <w:t xml:space="preserve">held</w:t>
      </w:r>
      <w:r>
        <w:rPr>
          <w:rFonts w:ascii="Calibri" w:cs="Calibri" w:eastAsia="Calibri" w:hAnsi="Calibri"/>
          <w:sz w:val="21"/>
          <w:szCs w:val="21"/>
        </w:rPr>
        <w:t xml:space="preserve"> larger than the real balance. Either exclude USDC from rescue or update the statement.</w:t>
      </w:r>
    </w:p>
    <w:p>
      <w:pPr>
        <w:pStyle w:val="ListParagraph"/>
        <w:numPr>
          <w:ilvl w:val="0"/>
          <w:numId w:val="6"/>
        </w:numPr>
        <w:spacing w:after="70" w:line="276"/>
      </w:pPr>
      <w:r>
        <w:rPr>
          <w:rFonts w:ascii="Calibri" w:cs="Calibri" w:eastAsia="Calibri" w:hAnsi="Calibri"/>
          <w:b/>
          <w:bCs/>
          <w:sz w:val="21"/>
          <w:szCs w:val="21"/>
        </w:rPr>
        <w:t xml:space="preserve">Minimums don't line up.</w:t>
      </w:r>
      <w:r>
        <w:rPr>
          <w:rFonts w:ascii="Calibri" w:cs="Calibri" w:eastAsia="Calibri" w:hAnsi="Calibri"/>
          <w:sz w:val="21"/>
          <w:szCs w:val="21"/>
        </w:rPr>
        <w:t xml:space="preserve"> The suggested $25 per-chain minimum is below the pool's minimum, so users can end up with an Available balance they cannot deposit. The interface has to say so up front.</w:t>
      </w:r>
    </w:p>
    <w:p>
      <w:pPr>
        <w:spacing w:after="120" w:line="276"/>
      </w:pPr>
      <w:r>
        <w:rPr>
          <w:rFonts w:ascii="Calibri" w:cs="Calibri" w:eastAsia="Calibri" w:hAnsi="Calibri"/>
          <w:b/>
          <w:bCs/>
          <w:sz w:val="21"/>
          <w:szCs w:val="21"/>
        </w:rPr>
        <w:t xml:space="preserve">Also considered:</w:t>
      </w:r>
      <w:r>
        <w:rPr>
          <w:rFonts w:ascii="Calibri" w:cs="Calibri" w:eastAsia="Calibri" w:hAnsi="Calibri"/>
          <w:sz w:val="21"/>
          <w:szCs w:val="21"/>
        </w:rPr>
        <w:t xml:space="preserve"> Privy has its own crypto deposit addresses (any chain to Avalanche, no fee). It overlaps with the module, but it routes through an undisclosed third party, refunds failures to the user's wallet, and delivers to the wallet rather than a held balance, so there is no signature-only pool deposit. Keep the custom module; Privy's feature is a fallback if the module slips.</w:t>
      </w:r>
    </w:p>
    <w:p>
      <w:pPr>
        <w:pStyle w:val="Heading1"/>
        <w:spacing w:after="110" w:before="300"/>
      </w:pPr>
      <w:r>
        <w:rPr>
          <w:rFonts w:ascii="Calibri" w:cs="Calibri" w:eastAsia="Calibri" w:hAnsi="Calibri"/>
          <w:b/>
          <w:bCs/>
          <w:color w:val="171630"/>
          <w:sz w:val="28"/>
          <w:szCs w:val="28"/>
        </w:rPr>
        <w:t xml:space="preserve">Sources</w:t>
      </w:r>
    </w:p>
    <w:p>
      <w:pPr>
        <w:pStyle w:val="ListParagraph"/>
        <w:numPr>
          <w:ilvl w:val="0"/>
          <w:numId w:val="4"/>
        </w:numPr>
        <w:spacing w:after="50"/>
      </w:pPr>
      <w:hyperlink w:history="1" r:id="rIdczqbrajhrwcd_lg3f7xhw">
        <w:r>
          <w:rPr>
            <w:rFonts w:ascii="Calibri" w:cs="Calibri" w:eastAsia="Calibri" w:hAnsi="Calibri"/>
            <w:color w:val="5B48D6"/>
            <w:sz w:val="19"/>
            <w:szCs w:val="19"/>
            <w:u w:val="single"/>
          </w:rPr>
          <w:t xml:space="preserve">Privy: fiat deposits (bank accounts via Bridge)</w:t>
        </w:r>
      </w:hyperlink>
    </w:p>
    <w:p>
      <w:pPr>
        <w:pStyle w:val="ListParagraph"/>
        <w:numPr>
          <w:ilvl w:val="0"/>
          <w:numId w:val="4"/>
        </w:numPr>
        <w:spacing w:after="50"/>
      </w:pPr>
      <w:hyperlink w:history="1" r:id="rIdoox1-0n-cpokpxzaqf0ye">
        <w:r>
          <w:rPr>
            <w:rFonts w:ascii="Calibri" w:cs="Calibri" w:eastAsia="Calibri" w:hAnsi="Calibri"/>
            <w:color w:val="5B48D6"/>
            <w:sz w:val="19"/>
            <w:szCs w:val="19"/>
            <w:u w:val="single"/>
          </w:rPr>
          <w:t xml:space="preserve">Privy: create a fiat deposit account</w:t>
        </w:r>
      </w:hyperlink>
    </w:p>
    <w:p>
      <w:pPr>
        <w:pStyle w:val="ListParagraph"/>
        <w:numPr>
          <w:ilvl w:val="0"/>
          <w:numId w:val="4"/>
        </w:numPr>
        <w:spacing w:after="50"/>
      </w:pPr>
      <w:hyperlink w:history="1" r:id="rIdsnhyxukpptodwlve0kevn">
        <w:r>
          <w:rPr>
            <w:rFonts w:ascii="Calibri" w:cs="Calibri" w:eastAsia="Calibri" w:hAnsi="Calibri"/>
            <w:color w:val="5B48D6"/>
            <w:sz w:val="19"/>
            <w:szCs w:val="19"/>
            <w:u w:val="single"/>
          </w:rPr>
          <w:t xml:space="preserve">Privy: fiat deposits setup</w:t>
        </w:r>
      </w:hyperlink>
    </w:p>
    <w:p>
      <w:pPr>
        <w:pStyle w:val="ListParagraph"/>
        <w:numPr>
          <w:ilvl w:val="0"/>
          <w:numId w:val="4"/>
        </w:numPr>
        <w:spacing w:after="50"/>
      </w:pPr>
      <w:hyperlink w:history="1" r:id="rIdb-usesmhy83uiopjcmiqb">
        <w:r>
          <w:rPr>
            <w:rFonts w:ascii="Calibri" w:cs="Calibri" w:eastAsia="Calibri" w:hAnsi="Calibri"/>
            <w:color w:val="5B48D6"/>
            <w:sz w:val="19"/>
            <w:szCs w:val="19"/>
            <w:u w:val="single"/>
          </w:rPr>
          <w:t xml:space="preserve">Privy: card on-ramps</w:t>
        </w:r>
      </w:hyperlink>
    </w:p>
    <w:p>
      <w:pPr>
        <w:pStyle w:val="ListParagraph"/>
        <w:numPr>
          <w:ilvl w:val="0"/>
          <w:numId w:val="4"/>
        </w:numPr>
        <w:spacing w:after="50"/>
      </w:pPr>
      <w:hyperlink w:history="1" r:id="rIdcl1bjdffvqtpznngxdgwt">
        <w:r>
          <w:rPr>
            <w:rFonts w:ascii="Calibri" w:cs="Calibri" w:eastAsia="Calibri" w:hAnsi="Calibri"/>
            <w:color w:val="5B48D6"/>
            <w:sz w:val="19"/>
            <w:szCs w:val="19"/>
            <w:u w:val="single"/>
          </w:rPr>
          <w:t xml:space="preserve">Privy: initiate on-ramp API (chain list)</w:t>
        </w:r>
      </w:hyperlink>
    </w:p>
    <w:p>
      <w:pPr>
        <w:pStyle w:val="ListParagraph"/>
        <w:numPr>
          <w:ilvl w:val="0"/>
          <w:numId w:val="4"/>
        </w:numPr>
        <w:spacing w:after="50"/>
      </w:pPr>
      <w:hyperlink w:history="1" r:id="rIdlgcb7qwdtjufb7tuug-9y">
        <w:r>
          <w:rPr>
            <w:rFonts w:ascii="Calibri" w:cs="Calibri" w:eastAsia="Calibri" w:hAnsi="Calibri"/>
            <w:color w:val="5B48D6"/>
            <w:sz w:val="19"/>
            <w:szCs w:val="19"/>
            <w:u w:val="single"/>
          </w:rPr>
          <w:t xml:space="preserve">Privy: crypto deposit addresses</w:t>
        </w:r>
      </w:hyperlink>
    </w:p>
    <w:p>
      <w:pPr>
        <w:pStyle w:val="ListParagraph"/>
        <w:numPr>
          <w:ilvl w:val="0"/>
          <w:numId w:val="4"/>
        </w:numPr>
        <w:spacing w:after="50"/>
      </w:pPr>
      <w:hyperlink w:history="1" r:id="rId47armetc_5nbilkletzye">
        <w:r>
          <w:rPr>
            <w:rFonts w:ascii="Calibri" w:cs="Calibri" w:eastAsia="Calibri" w:hAnsi="Calibri"/>
            <w:color w:val="5B48D6"/>
            <w:sz w:val="19"/>
            <w:szCs w:val="19"/>
            <w:u w:val="single"/>
          </w:rPr>
          <w:t xml:space="preserve">Privy: gas sponsorship</w:t>
        </w:r>
      </w:hyperlink>
    </w:p>
    <w:p>
      <w:pPr>
        <w:pStyle w:val="ListParagraph"/>
        <w:numPr>
          <w:ilvl w:val="0"/>
          <w:numId w:val="4"/>
        </w:numPr>
        <w:spacing w:after="50"/>
      </w:pPr>
      <w:hyperlink w:history="1" r:id="rIdgdsyboqstqwpqrqw_wrn5">
        <w:r>
          <w:rPr>
            <w:rFonts w:ascii="Calibri" w:cs="Calibri" w:eastAsia="Calibri" w:hAnsi="Calibri"/>
            <w:color w:val="5B48D6"/>
            <w:sz w:val="19"/>
            <w:szCs w:val="19"/>
            <w:u w:val="single"/>
          </w:rPr>
          <w:t xml:space="preserve">Privy: KYC overview</w:t>
        </w:r>
      </w:hyperlink>
    </w:p>
    <w:p>
      <w:pPr>
        <w:pStyle w:val="ListParagraph"/>
        <w:numPr>
          <w:ilvl w:val="0"/>
          <w:numId w:val="4"/>
        </w:numPr>
        <w:spacing w:after="50"/>
      </w:pPr>
      <w:hyperlink w:history="1" r:id="rIdappzg-6sv8e7z93vd2bnk">
        <w:r>
          <w:rPr>
            <w:rFonts w:ascii="Calibri" w:cs="Calibri" w:eastAsia="Calibri" w:hAnsi="Calibri"/>
            <w:color w:val="5B48D6"/>
            <w:sz w:val="19"/>
            <w:szCs w:val="19"/>
            <w:u w:val="single"/>
          </w:rPr>
          <w:t xml:space="preserve">Avalanche Builder Hub: Stripe on-ramp</w:t>
        </w:r>
      </w:hyperlink>
    </w:p>
    <w:p>
      <w:pPr>
        <w:pStyle w:val="ListParagraph"/>
        <w:numPr>
          <w:ilvl w:val="0"/>
          <w:numId w:val="4"/>
        </w:numPr>
        <w:spacing w:after="50"/>
      </w:pPr>
      <w:hyperlink w:history="1" r:id="rIdmcv-wkmp1k3wv-vb2s5gg">
        <w:r>
          <w:rPr>
            <w:rFonts w:ascii="Calibri" w:cs="Calibri" w:eastAsia="Calibri" w:hAnsi="Calibri"/>
            <w:color w:val="5B48D6"/>
            <w:sz w:val="19"/>
            <w:szCs w:val="19"/>
            <w:u w:val="single"/>
          </w:rPr>
          <w:t xml:space="preserve">Coinbase Onramp FAQ</w:t>
        </w:r>
      </w:hyperlink>
    </w:p>
    <w:sectPr>
      <w:headerReference w:type="default" r:id="rId7"/>
      <w:footerReference w:type="default" r:id="rId8"/>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A88A0"/>
        <w:sz w:val="16"/>
        <w:szCs w:val="16"/>
      </w:rPr>
      <w:t xml:space="preserve">Page </w:t>
    </w:r>
    <w:r>
      <w:rPr>
        <w:rFonts w:ascii="Calibri" w:cs="Calibri" w:eastAsia="Calibri" w:hAnsi="Calibri"/>
        <w:color w:val="8A88A0"/>
        <w:sz w:val="16"/>
        <w:szCs w:val="16"/>
      </w:rPr>
      <w:fldChar w:fldCharType="begin"/>
      <w:instrText xml:space="preserve">PAGE</w:instrText>
      <w:fldChar w:fldCharType="separate"/>
      <w:fldChar w:fldCharType="end"/>
    </w:r>
    <w:r>
      <w:rPr>
        <w:rFonts w:ascii="Calibri" w:cs="Calibri" w:eastAsia="Calibri" w:hAnsi="Calibri"/>
        <w:color w:val="8A88A0"/>
        <w:sz w:val="16"/>
        <w:szCs w:val="16"/>
      </w:rPr>
      <w:t xml:space="preserve"> of </w:t>
    </w:r>
    <w:r>
      <w:rPr>
        <w:rFonts w:ascii="Calibri" w:cs="Calibri" w:eastAsia="Calibri" w:hAnsi="Calibri"/>
        <w:color w:val="8A88A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A88A0"/>
        <w:sz w:val="16"/>
        <w:szCs w:val="16"/>
      </w:rPr>
      <w:t xml:space="preserve">Balcore · Deposit from bank · what to build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10" w:before="300"/>
      <w:outlineLvl w:val="0"/>
    </w:pPr>
    <w:rPr>
      <w:rFonts w:ascii="Calibri" w:cs="Calibri" w:eastAsia="Calibri" w:hAnsi="Calibri"/>
      <w:b/>
      <w:bCs/>
      <w:color w:val="171630"/>
      <w:sz w:val="28"/>
      <w:szCs w:val="28"/>
    </w:rPr>
  </w:style>
  <w:style w:type="paragraph" w:styleId="Heading2">
    <w:name w:val="Heading 2"/>
    <w:basedOn w:val="Normal"/>
    <w:next w:val="Normal"/>
    <w:qFormat/>
    <w:pPr>
      <w:spacing w:after="80" w:before="200"/>
      <w:outlineLvl w:val="1"/>
    </w:pPr>
    <w:rPr>
      <w:rFonts w:ascii="Calibri" w:cs="Calibri" w:eastAsia="Calibri" w:hAnsi="Calibri"/>
      <w:b/>
      <w:bCs/>
      <w:color w:val="5B48D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czqbrajhrwcd_lg3f7xhw" Type="http://schemas.openxmlformats.org/officeDocument/2006/relationships/hyperlink" Target="https://docs.privy.io/wallets/funding/bank-deposits" TargetMode="External"/><Relationship Id="rIdoox1-0n-cpokpxzaqf0ye" Type="http://schemas.openxmlformats.org/officeDocument/2006/relationships/hyperlink" Target="https://docs.privy.io/wallets/funding/fiat-deposits/create-deposit-account.md" TargetMode="External"/><Relationship Id="rIdsnhyxukpptodwlve0kevn" Type="http://schemas.openxmlformats.org/officeDocument/2006/relationships/hyperlink" Target="https://docs.privy.io/wallets/funding/fiat-deposits/setup.md" TargetMode="External"/><Relationship Id="rIdb-usesmhy83uiopjcmiqb" Type="http://schemas.openxmlformats.org/officeDocument/2006/relationships/hyperlink" Target="https://docs.privy.io/wallets/funding/fiat-onramp" TargetMode="External"/><Relationship Id="rIdcl1bjdffvqtpznngxdgwt" Type="http://schemas.openxmlformats.org/officeDocument/2006/relationships/hyperlink" Target="https://docs.privy.io/api-reference/fiat/onramp/create" TargetMode="External"/><Relationship Id="rIdlgcb7qwdtjufb7tuug-9y" Type="http://schemas.openxmlformats.org/officeDocument/2006/relationships/hyperlink" Target="https://docs.privy.io/wallets/funding/crypto-deposit-addresses" TargetMode="External"/><Relationship Id="rId47armetc_5nbilkletzye" Type="http://schemas.openxmlformats.org/officeDocument/2006/relationships/hyperlink" Target="https://docs.privy.io/wallets/gas-and-asset-management/gas/overview" TargetMode="External"/><Relationship Id="rIdgdsyboqstqwpqrqw_wrn5" Type="http://schemas.openxmlformats.org/officeDocument/2006/relationships/hyperlink" Target="https://docs.privy.io/kyc-kyb/overview.md" TargetMode="External"/><Relationship Id="rIdappzg-6sv8e7z93vd2bnk" Type="http://schemas.openxmlformats.org/officeDocument/2006/relationships/hyperlink" Target="https://build.avax.network/integrations/stripe" TargetMode="External"/><Relationship Id="rIdmcv-wkmp1k3wv-vb2s5gg" Type="http://schemas.openxmlformats.org/officeDocument/2006/relationships/hyperlink" Target="https://docs.cdp.coinbase.com/onramp/additional-resources/faq"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2026-09-11T13:27:19.127Z</dcterms:created>
  <dcterms:modified xsi:type="dcterms:W3CDTF">2026-09-11T13:27:19.141Z</dcterms:modified>
</cp:coreProperties>
</file>

<file path=docProps/custom.xml><?xml version="1.0" encoding="utf-8"?>
<Properties xmlns="http://schemas.openxmlformats.org/officeDocument/2006/custom-properties" xmlns:vt="http://schemas.openxmlformats.org/officeDocument/2006/docPropsVTypes"/>
</file>