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NutriMatch Business Paper</w:t>
      </w:r>
    </w:p>
    <w:p>
      <w:pPr>
        <w:pStyle w:val="Subtitle"/>
      </w:pPr>
      <w:r>
        <w:t xml:space="preserve">Marktchancen, Produktlogik, Skalierung und Finanzierungsmodell</w:t>
      </w:r>
    </w:p>
    <w:p>
      <w:pPr>
        <w:pStyle w:val="SmallText"/>
      </w:pPr>
      <w:r>
        <w:t xml:space="preserve">Arbeitsfassung fuer die Projektpraesentation | Stand: 29. Juni 2026</w:t>
      </w:r>
    </w:p>
    <w:p>
      <w:pPr>
        <w:spacing w:after="180" w:line="280" w:lineRule="auto"/>
      </w:pPr>
      <w:r>
        <w:rPr>
          <w:b/>
        </w:rPr>
        <w:t xml:space="preserve">Kurzthese: </w:t>
      </w:r>
      <w:r>
        <w:t xml:space="preserve">NutriMatch positioniert sich als datenbasierte Plattform fuer personalisierte Supplement- und Ernahrungsempfehlungen. Das Projekt verbindet Fragebogen, Produktkatalog, KI-Chat, evidenzbasierte Einnahmehinweise, Meal Planning und Live-Wearable-Daten aus Apple Watch/HeartCast. Damit entsteht kein weiterer isolierter Supplement-Shop, sondern ein beratungsnahes Entscheidungs- und Wiederkaufsmodell.</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90" w:type="dxa"/>
          <w:left w:w="130" w:type="dxa"/>
          <w:bottom w:w="90" w:type="dxa"/>
          <w:right w:w="130" w:type="dxa"/>
        </w:tblCellMar>
      </w:tblPr>
      <w:tblGrid>
        <w:gridCol w:w="1900"/>
        <w:gridCol w:w="7460"/>
      </w:tblGrid>
      <w:tr>
        <w:tc>
          <w:tcPr>
            <w:tcW w:w="1900" w:type="dxa"/>
            <w:shd w:fill="E8F3EC"/>
          </w:tcPr>
          <w:p>
            <w:pPr>
              <w:pStyle w:val="TableText"/>
              <w:spacing w:after="60" w:line="260" w:lineRule="auto"/>
            </w:pPr>
            <w:r>
              <w:rPr>
                <w:b/>
              </w:rPr>
              <w:t xml:space="preserve">Kategorie</w:t>
            </w:r>
          </w:p>
        </w:tc>
        <w:tc>
          <w:tcPr>
            <w:tcW w:w="7460" w:type="dxa"/>
            <w:shd w:fill="E8F3EC"/>
          </w:tcPr>
          <w:p>
            <w:pPr>
              <w:pStyle w:val="TableText"/>
              <w:spacing w:after="60" w:line="260" w:lineRule="auto"/>
            </w:pPr>
            <w:r>
              <w:rPr>
                <w:b/>
              </w:rPr>
              <w:t xml:space="preserve">Kernaussage</w:t>
            </w:r>
          </w:p>
        </w:tc>
      </w:tr>
      <w:tr>
        <w:tc>
          <w:tcPr>
            <w:tcW w:w="1900" w:type="dxa"/>
          </w:tcPr>
          <w:p>
            <w:pPr>
              <w:pStyle w:val="TableText"/>
              <w:spacing w:after="60" w:line="260" w:lineRule="auto"/>
            </w:pPr>
            <w:r>
              <w:t xml:space="preserve">Produkt</w:t>
            </w:r>
          </w:p>
        </w:tc>
        <w:tc>
          <w:tcPr>
            <w:tcW w:w="7460" w:type="dxa"/>
          </w:tcPr>
          <w:p>
            <w:pPr>
              <w:pStyle w:val="TableText"/>
              <w:spacing w:after="60" w:line="260" w:lineRule="auto"/>
            </w:pPr>
            <w:r>
              <w:t xml:space="preserve">Web-App fuer personalisierte Supplement-Empfehlungen, Gesundheitsanalyse, Meal Planning und KI-gestuetzte Beratung.</w:t>
            </w:r>
          </w:p>
        </w:tc>
      </w:tr>
      <w:tr>
        <w:tc>
          <w:tcPr>
            <w:tcW w:w="1900" w:type="dxa"/>
          </w:tcPr>
          <w:p>
            <w:pPr>
              <w:pStyle w:val="TableText"/>
              <w:spacing w:after="60" w:line="260" w:lineRule="auto"/>
            </w:pPr>
            <w:r>
              <w:t xml:space="preserve">Zielkunden</w:t>
            </w:r>
          </w:p>
        </w:tc>
        <w:tc>
          <w:tcPr>
            <w:tcW w:w="7460" w:type="dxa"/>
          </w:tcPr>
          <w:p>
            <w:pPr>
              <w:pStyle w:val="TableText"/>
              <w:spacing w:after="60" w:line="260" w:lineRule="auto"/>
            </w:pPr>
            <w:r>
              <w:t xml:space="preserve">Gesundheitsbewusste Erwachsene, Studierende, Fitness-Nutzer, Veganer, Personen mit Schlaf-/Stress-/Energie-Zielen.</w:t>
            </w:r>
          </w:p>
        </w:tc>
      </w:tr>
      <w:tr>
        <w:tc>
          <w:tcPr>
            <w:tcW w:w="1900" w:type="dxa"/>
          </w:tcPr>
          <w:p>
            <w:pPr>
              <w:pStyle w:val="TableText"/>
              <w:spacing w:after="60" w:line="260" w:lineRule="auto"/>
            </w:pPr>
            <w:r>
              <w:t xml:space="preserve">USP</w:t>
            </w:r>
          </w:p>
        </w:tc>
        <w:tc>
          <w:tcPr>
            <w:tcW w:w="7460" w:type="dxa"/>
          </w:tcPr>
          <w:p>
            <w:pPr>
              <w:pStyle w:val="TableText"/>
              <w:spacing w:after="60" w:line="260" w:lineRule="auto"/>
            </w:pPr>
            <w:r>
              <w:t xml:space="preserve">Kombination aus produktneutralem Katalog, Wearable-Signalen, kuratierter Wissensbasis und erklaerbarer Empfehlung statt reiner Werbung.</w:t>
            </w:r>
          </w:p>
        </w:tc>
      </w:tr>
      <w:tr>
        <w:tc>
          <w:tcPr>
            <w:tcW w:w="1900" w:type="dxa"/>
          </w:tcPr>
          <w:p>
            <w:pPr>
              <w:pStyle w:val="TableText"/>
              <w:spacing w:after="60" w:line="260" w:lineRule="auto"/>
            </w:pPr>
            <w:r>
              <w:t xml:space="preserve">Erloesmodell</w:t>
            </w:r>
          </w:p>
        </w:tc>
        <w:tc>
          <w:tcPr>
            <w:tcW w:w="7460" w:type="dxa"/>
          </w:tcPr>
          <w:p>
            <w:pPr>
              <w:pStyle w:val="TableText"/>
              <w:spacing w:after="60" w:line="260" w:lineRule="auto"/>
            </w:pPr>
            <w:r>
              <w:t xml:space="preserve">Freemium, Premium-Abo, Affiliate-/Provisionserloese, B2B-Piloten mit Hochschulen, Fitnessstudios und Corporate-Wellness.</w:t>
            </w:r>
          </w:p>
        </w:tc>
      </w:tr>
      <w:tr>
        <w:tc>
          <w:tcPr>
            <w:tcW w:w="1900" w:type="dxa"/>
          </w:tcPr>
          <w:p>
            <w:pPr>
              <w:pStyle w:val="TableText"/>
              <w:spacing w:after="60" w:line="260" w:lineRule="auto"/>
            </w:pPr>
            <w:r>
              <w:t xml:space="preserve">Finanzierungsvorschlag</w:t>
            </w:r>
          </w:p>
        </w:tc>
        <w:tc>
          <w:tcPr>
            <w:tcW w:w="7460" w:type="dxa"/>
          </w:tcPr>
          <w:p>
            <w:pPr>
              <w:pStyle w:val="TableText"/>
              <w:spacing w:after="60" w:line="260" w:lineRule="auto"/>
            </w:pPr>
            <w:r>
              <w:t xml:space="preserve">250.000 EUR Pre-Seed Kapital gegen ca. 20 Prozent Unternehmensanteile bei 1,0 Mio. EUR Pre-Money Bewertung.</w:t>
            </w:r>
          </w:p>
        </w:tc>
      </w:tr>
    </w:tbl>
    <w:p>
      <w:pPr>
        <w:spacing w:after="100"/>
      </w:pPr>
      <w:r>
        <w:t xml:space="preserve"/>
      </w:r>
    </w:p>
    <w:p>
      <w:pPr>
        <w:pStyle w:val="Heading1"/>
      </w:pPr>
      <w:r>
        <w:t xml:space="preserve">1. Ausgangslage und Problem</w:t>
      </w:r>
    </w:p>
    <w:p>
      <w:pPr>
        <w:pStyle w:val="BodyText"/>
      </w:pPr>
      <w:r>
        <w:t xml:space="preserve">Der Markt fuer Nahrungsergaenzungsmittel ist gross, aber fuer Nutzer schwer zu durchschauen. Viele Produkte werben mit aehnlichen Aussagen, Dosierungen sind nicht immer intuitiv, Wechselwirkungen werden selten verstaendlich erklaert und Empfehlungen sind haeufig markengebunden. Gleichzeitig steigt die Bereitschaft, Gesundheitsdaten aktiv zu nutzen: Smartwatches messen Herzfrequenz, Schlaf, Aktivitaet und Regeneration; Apps visualisieren Lebensstiltrends; Nutzer erwarten zunehmend personalisierte Antworten statt allgemeiner Produktlisten.</w:t>
      </w:r>
    </w:p>
    <w:p>
      <w:pPr>
        <w:pStyle w:val="BodyText"/>
      </w:pPr>
      <w:r>
        <w:t xml:space="preserve">NutriMatch adressiert genau diese Luecke. Die Plattform uebersetzt persoenliche Angaben und Wearable-Daten in nachvollziehbare Empfehlungen: Welche Naehrstoffe koennen relevant sein? Wann sollte ein Supplement eher mit Essen eingenommen werden? Welche Hinweise zu Interaktionen oder Kontraindikationen sind zu beachten? Und welche Produkte im Katalog passen zum Profil? Die Loesung soll keine medizinische Diagnose ersetzen, sondern eine strukturierte, transparente Orientierung geben.</w:t>
      </w:r>
    </w:p>
    <w:p>
      <w:pPr>
        <w:pStyle w:val="Heading2"/>
      </w:pPr>
      <w:r>
        <w:t xml:space="preserve">Marktsignal</w:t>
      </w:r>
    </w:p>
    <w:p>
      <w:pPr>
        <w:pStyle w:val="BodyText"/>
      </w:pPr>
      <w:r>
        <w:t xml:space="preserve">Der europaeische Markt fuer Dietary Supplements wurde fuer 2025 auf 49,39 Mrd. USD geschaetzt und soll bis 2033 auf 97,76 Mrd. USD wachsen. Das entspricht laut Grand View Research einer erwarteten CAGR von 9,0 Prozent fuer 2026 bis 2033 [1]. Parallel dazu wird der Markt fuer Personalized Retail Nutrition and Wellness mit 3,39 Mrd. USD im Jahr 2023 und 8,93 Mrd. USD bis 2030 beschrieben; die erwartete CAGR liegt bei 15,19 Prozent [2]. Fuer NutriMatch ist wichtig: Das Wachstum liegt nicht nur im Verkauf einzelner Kapseln, sondern in der Schnittstelle aus Gesundheitsdaten, Personalisierung, digitaler Beratung und wiederkehrendem Konsum.</w:t>
      </w:r>
    </w:p>
    <w:p>
      <w:r>
        <w:br w:type="page"/>
      </w:r>
    </w:p>
    <w:p>
      <w:pPr>
        <w:pStyle w:val="Heading1"/>
      </w:pPr>
      <w:r>
        <w:t xml:space="preserve">2. Marktchancen</w:t>
      </w:r>
    </w:p>
    <w:p>
      <w:pPr>
        <w:pStyle w:val="Heading2"/>
      </w:pPr>
      <w:r>
        <w:t xml:space="preserve">2.1 Nahrungsergaenzung wird alltaeglicher</w:t>
      </w:r>
    </w:p>
    <w:p>
      <w:pPr>
        <w:pStyle w:val="BodyText"/>
      </w:pPr>
      <w:r>
        <w:t xml:space="preserve">Nahrungsergaenzungsmittel entwickeln sich von gelegentlichen Einzelkaeufen hin zu wiederkehrenden Routinen. In Europa treiben demografischer Wandel, praeventive Gesundheitsorientierung, Fitnesskultur, vegane Ernaehrung, Stress- und Schlafprobleme sowie E-Commerce die Nachfrage. Grand View Research nennt fuer Europa unter anderem eine starke Rolle von Erwachsenen als Endnutzergruppe und eine hohe Relevanz von OTC-Supplements [1]. Deutschland ist attraktiv, weil Apotheken, Drogeriemaerkte, Online-Shops und Gesundheits-Apps bereits vertraute Kauf- und Informationskanaele sind.</w:t>
      </w:r>
    </w:p>
    <w:p>
      <w:pPr>
        <w:pStyle w:val="Heading2"/>
      </w:pPr>
      <w:r>
        <w:t xml:space="preserve">2.2 Personalisierung wird zum Erwartungsstandard</w:t>
      </w:r>
    </w:p>
    <w:p>
      <w:pPr>
        <w:pStyle w:val="BodyText"/>
      </w:pPr>
      <w:r>
        <w:t xml:space="preserve">Der eigentliche Hebel liegt in der Personalisierung. Nutzer wollen nicht nur wissen, welches Produkt beliebt ist, sondern ob es zu ihrem Schlaf, Trainingsverhalten, Ernahrungsform, Budget und ihren Zielen passt. Genau hier koennen standardisierte Shops nur begrenzt helfen. NutriMatch kann die Kaufentscheidung verbessern, weil es Datenquellen zusammenfuehrt: Fragebogen, Supplement-Katalog, kuratierte Einnahmehinweise und Wearable-Informationen.</w:t>
      </w:r>
    </w:p>
    <w:p>
      <w:pPr>
        <w:pStyle w:val="Heading2"/>
      </w:pPr>
      <w:r>
        <w:t xml:space="preserve">2.3 Wearables schaffen einen datenbasierten Einstieg</w:t>
      </w:r>
    </w:p>
    <w:p>
      <w:pPr>
        <w:pStyle w:val="BodyText"/>
      </w:pPr>
      <w:r>
        <w:t xml:space="preserve">Wearables machen Gesundheitsdaten im Alltag sichtbar. Marktberichte beschreiben, dass Wearable Devices Herzfrequenz, Schlafqualitaet, Aktivitaet, Kalorienverbrauch und weitere Gesundheitsindikatoren erfassen koennen; diese Daten helfen Nutzern, Gewohnheiten zu verstehen und zu veraendern [3]. Im Projekt ist dies bereits prototypisch umgesetzt: Apple Watch misst die Herzfrequenz, HeartCast uebertraegt sie per Bluetooth Low Energy, ein Python-Bridge sendet die Werte an das NutriMatch-Backend und das Dashboard aktualisiert den Live-Puls.</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90" w:type="dxa"/>
          <w:left w:w="130" w:type="dxa"/>
          <w:bottom w:w="90" w:type="dxa"/>
          <w:right w:w="130" w:type="dxa"/>
        </w:tblCellMar>
      </w:tblPr>
      <w:tblGrid>
        <w:gridCol w:w="1700"/>
        <w:gridCol w:w="3400"/>
        <w:gridCol w:w="4260"/>
      </w:tblGrid>
      <w:tr>
        <w:tc>
          <w:tcPr>
            <w:tcW w:w="1700" w:type="dxa"/>
            <w:shd w:fill="E8F3EC"/>
          </w:tcPr>
          <w:p>
            <w:pPr>
              <w:pStyle w:val="TableText"/>
              <w:spacing w:after="60" w:line="260" w:lineRule="auto"/>
            </w:pPr>
            <w:r>
              <w:rPr>
                <w:b/>
              </w:rPr>
              <w:t xml:space="preserve">Markttrend</w:t>
            </w:r>
          </w:p>
        </w:tc>
        <w:tc>
          <w:tcPr>
            <w:tcW w:w="3400" w:type="dxa"/>
            <w:shd w:fill="E8F3EC"/>
          </w:tcPr>
          <w:p>
            <w:pPr>
              <w:pStyle w:val="TableText"/>
              <w:spacing w:after="60" w:line="260" w:lineRule="auto"/>
            </w:pPr>
            <w:r>
              <w:rPr>
                <w:b/>
              </w:rPr>
              <w:t xml:space="preserve">Chance fuer NutriMatch</w:t>
            </w:r>
          </w:p>
        </w:tc>
        <w:tc>
          <w:tcPr>
            <w:tcW w:w="4260" w:type="dxa"/>
            <w:shd w:fill="E8F3EC"/>
          </w:tcPr>
          <w:p>
            <w:pPr>
              <w:pStyle w:val="TableText"/>
              <w:spacing w:after="60" w:line="260" w:lineRule="auto"/>
            </w:pPr>
            <w:r>
              <w:rPr>
                <w:b/>
              </w:rPr>
              <w:t xml:space="preserve">Konkrete Umsetzung im Prototyp</w:t>
            </w:r>
          </w:p>
        </w:tc>
      </w:tr>
      <w:tr>
        <w:tc>
          <w:tcPr>
            <w:tcW w:w="1700" w:type="dxa"/>
          </w:tcPr>
          <w:p>
            <w:pPr>
              <w:pStyle w:val="TableText"/>
              <w:spacing w:after="60" w:line="260" w:lineRule="auto"/>
            </w:pPr>
            <w:r>
              <w:t xml:space="preserve">Praeventive Gesundheit</w:t>
            </w:r>
          </w:p>
        </w:tc>
        <w:tc>
          <w:tcPr>
            <w:tcW w:w="3400" w:type="dxa"/>
          </w:tcPr>
          <w:p>
            <w:pPr>
              <w:pStyle w:val="TableText"/>
              <w:spacing w:after="60" w:line="260" w:lineRule="auto"/>
            </w:pPr>
            <w:r>
              <w:t xml:space="preserve">Nutzer suchen frueher Orientierung, nicht erst bei Krankheit.</w:t>
            </w:r>
          </w:p>
        </w:tc>
        <w:tc>
          <w:tcPr>
            <w:tcW w:w="4260" w:type="dxa"/>
          </w:tcPr>
          <w:p>
            <w:pPr>
              <w:pStyle w:val="TableText"/>
              <w:spacing w:after="60" w:line="260" w:lineRule="auto"/>
            </w:pPr>
            <w:r>
              <w:t xml:space="preserve">Fragebogen, Ziele, Schlaf-/Stressauswertung.</w:t>
            </w:r>
          </w:p>
        </w:tc>
      </w:tr>
      <w:tr>
        <w:tc>
          <w:tcPr>
            <w:tcW w:w="1700" w:type="dxa"/>
          </w:tcPr>
          <w:p>
            <w:pPr>
              <w:pStyle w:val="TableText"/>
              <w:spacing w:after="60" w:line="260" w:lineRule="auto"/>
            </w:pPr>
            <w:r>
              <w:t xml:space="preserve">Supplement-Ueberangebot</w:t>
            </w:r>
          </w:p>
        </w:tc>
        <w:tc>
          <w:tcPr>
            <w:tcW w:w="3400" w:type="dxa"/>
          </w:tcPr>
          <w:p>
            <w:pPr>
              <w:pStyle w:val="TableText"/>
              <w:spacing w:after="60" w:line="260" w:lineRule="auto"/>
            </w:pPr>
            <w:r>
              <w:t xml:space="preserve">Bedarf an neutraler Filterung und Erklaerung.</w:t>
            </w:r>
          </w:p>
        </w:tc>
        <w:tc>
          <w:tcPr>
            <w:tcW w:w="4260" w:type="dxa"/>
          </w:tcPr>
          <w:p>
            <w:pPr>
              <w:pStyle w:val="TableText"/>
              <w:spacing w:after="60" w:line="260" w:lineRule="auto"/>
            </w:pPr>
            <w:r>
              <w:t xml:space="preserve">Katalog mit Score, Evidenzlevel und Produktsuche.</w:t>
            </w:r>
          </w:p>
        </w:tc>
      </w:tr>
      <w:tr>
        <w:tc>
          <w:tcPr>
            <w:tcW w:w="1700" w:type="dxa"/>
          </w:tcPr>
          <w:p>
            <w:pPr>
              <w:pStyle w:val="TableText"/>
              <w:spacing w:after="60" w:line="260" w:lineRule="auto"/>
            </w:pPr>
            <w:r>
              <w:t xml:space="preserve">Wearable-Daten</w:t>
            </w:r>
          </w:p>
        </w:tc>
        <w:tc>
          <w:tcPr>
            <w:tcW w:w="3400" w:type="dxa"/>
          </w:tcPr>
          <w:p>
            <w:pPr>
              <w:pStyle w:val="TableText"/>
              <w:spacing w:after="60" w:line="260" w:lineRule="auto"/>
            </w:pPr>
            <w:r>
              <w:t xml:space="preserve">Aktuelle Signale erhoehen Relevanz und Nutzungsfrequenz.</w:t>
            </w:r>
          </w:p>
        </w:tc>
        <w:tc>
          <w:tcPr>
            <w:tcW w:w="4260" w:type="dxa"/>
          </w:tcPr>
          <w:p>
            <w:pPr>
              <w:pStyle w:val="TableText"/>
              <w:spacing w:after="60" w:line="260" w:lineRule="auto"/>
            </w:pPr>
            <w:r>
              <w:t xml:space="preserve">Apple Watch/HeartCast Live-Herzfrequenz im Dashboard.</w:t>
            </w:r>
          </w:p>
        </w:tc>
      </w:tr>
      <w:tr>
        <w:tc>
          <w:tcPr>
            <w:tcW w:w="1700" w:type="dxa"/>
          </w:tcPr>
          <w:p>
            <w:pPr>
              <w:pStyle w:val="TableText"/>
              <w:spacing w:after="60" w:line="260" w:lineRule="auto"/>
            </w:pPr>
            <w:r>
              <w:t xml:space="preserve">KI-Beratung</w:t>
            </w:r>
          </w:p>
        </w:tc>
        <w:tc>
          <w:tcPr>
            <w:tcW w:w="3400" w:type="dxa"/>
          </w:tcPr>
          <w:p>
            <w:pPr>
              <w:pStyle w:val="TableText"/>
              <w:spacing w:after="60" w:line="260" w:lineRule="auto"/>
            </w:pPr>
            <w:r>
              <w:t xml:space="preserve">Niedrigschwellige Erklaerung statt langer Produkttexte.</w:t>
            </w:r>
          </w:p>
        </w:tc>
        <w:tc>
          <w:tcPr>
            <w:tcW w:w="4260" w:type="dxa"/>
          </w:tcPr>
          <w:p>
            <w:pPr>
              <w:pStyle w:val="TableText"/>
              <w:spacing w:after="60" w:line="260" w:lineRule="auto"/>
            </w:pPr>
            <w:r>
              <w:t xml:space="preserve">NutriGuide Chatbot mit kuratierter Wissensbasis.</w:t>
            </w:r>
          </w:p>
        </w:tc>
      </w:tr>
      <w:tr>
        <w:tc>
          <w:tcPr>
            <w:tcW w:w="1700" w:type="dxa"/>
          </w:tcPr>
          <w:p>
            <w:pPr>
              <w:pStyle w:val="TableText"/>
              <w:spacing w:after="60" w:line="260" w:lineRule="auto"/>
            </w:pPr>
            <w:r>
              <w:t xml:space="preserve">Regulatorische Sensibilitaet</w:t>
            </w:r>
          </w:p>
        </w:tc>
        <w:tc>
          <w:tcPr>
            <w:tcW w:w="3400" w:type="dxa"/>
          </w:tcPr>
          <w:p>
            <w:pPr>
              <w:pStyle w:val="TableText"/>
              <w:spacing w:after="60" w:line="260" w:lineRule="auto"/>
            </w:pPr>
            <w:r>
              <w:t xml:space="preserve">Vertrauen entsteht durch vorsichtige, quellenbasierte Sprache.</w:t>
            </w:r>
          </w:p>
        </w:tc>
        <w:tc>
          <w:tcPr>
            <w:tcW w:w="4260" w:type="dxa"/>
          </w:tcPr>
          <w:p>
            <w:pPr>
              <w:pStyle w:val="TableText"/>
              <w:spacing w:after="60" w:line="260" w:lineRule="auto"/>
            </w:pPr>
            <w:r>
              <w:t xml:space="preserve">Keine Diagnose; Hinweise auf EFSA/NIH/NHS und sichere Grenzen.</w:t>
            </w:r>
          </w:p>
        </w:tc>
      </w:tr>
    </w:tbl>
    <w:p>
      <w:pPr>
        <w:spacing w:after="100"/>
      </w:pPr>
      <w:r>
        <w:t xml:space="preserve"/>
      </w:r>
    </w:p>
    <w:p>
      <w:pPr>
        <w:pStyle w:val="Heading1"/>
      </w:pPr>
      <w:r>
        <w:t xml:space="preserve">3. Produktbeschreibung</w:t>
      </w:r>
    </w:p>
    <w:p>
      <w:pPr>
        <w:pStyle w:val="BodyText"/>
      </w:pPr>
      <w:r>
        <w:t xml:space="preserve">NutriMatch ist eine Web-Plattform fuer personalisierte Supplement- und Ernahrungsempfehlungen. Der Nutzer beantwortet einen Fragebogen zu Alter, Aktivitaet, Schlaf, Stress, Ernaehrungsform, Zielen, Allergien, Budget und Praeferenzen. Daraus erstellt die Plattform eine Empfehlungsliste mit Produkten aus verschiedenen Marken. Ergaenzend gibt es einen Meal Planner, ein Dashboard fuer Gesundheitsdaten und einen KI-Chatbot, der Fragen zu Einnahmezeitpunkten, Wechselwirkungen und allgemeinen Supplement-Grundlagen beantwortet.</w:t>
      </w:r>
    </w:p>
    <w:p>
      <w:pPr>
        <w:pStyle w:val="Heading2"/>
      </w:pPr>
      <w:r>
        <w:t xml:space="preserve">Produktmodule</w:t>
      </w:r>
    </w:p>
    <w:p>
      <w:pPr>
        <w:numPr>
          <w:ilvl w:val="0"/>
          <w:numId w:val="1"/>
        </w:numPr>
        <w:spacing w:after="80" w:line="280" w:lineRule="auto"/>
      </w:pPr>
      <w:r>
        <w:t xml:space="preserve">Questionnaire: strukturierte Eingabe der persoenlichen Ziele, Ernaehrungsform, Allergien, Aktivitaet und Budgets.</w:t>
      </w:r>
    </w:p>
    <w:p>
      <w:pPr>
        <w:numPr>
          <w:ilvl w:val="0"/>
          <w:numId w:val="1"/>
        </w:numPr>
        <w:spacing w:after="80" w:line="280" w:lineRule="auto"/>
      </w:pPr>
      <w:r>
        <w:t xml:space="preserve">Recommendation Engine: Matching von Nutzerprofil, Naehrstoffbedarf und Produktkatalog mit Score und Begruendung.</w:t>
      </w:r>
    </w:p>
    <w:p>
      <w:pPr>
        <w:numPr>
          <w:ilvl w:val="0"/>
          <w:numId w:val="1"/>
        </w:numPr>
        <w:spacing w:after="80" w:line="280" w:lineRule="auto"/>
      </w:pPr>
      <w:r>
        <w:t xml:space="preserve">Health Dashboard: Analyse von Schlaf, Schritten, Aktivitaetsminuten und Ruhepuls; Live-Herzfrequenz ueber Apple Watch/HeartCast.</w:t>
      </w:r>
    </w:p>
    <w:p>
      <w:pPr>
        <w:numPr>
          <w:ilvl w:val="0"/>
          <w:numId w:val="1"/>
        </w:numPr>
        <w:spacing w:after="80" w:line="280" w:lineRule="auto"/>
      </w:pPr>
      <w:r>
        <w:t xml:space="preserve">NutriGuide Chatbot: beantwortet Produkt- und Einnahmefragen, nutzt fuer Einnahmehinweise eine kuratierte Wissensbasis statt freier Halluzination.</w:t>
      </w:r>
    </w:p>
    <w:p>
      <w:pPr>
        <w:numPr>
          <w:ilvl w:val="0"/>
          <w:numId w:val="1"/>
        </w:numPr>
        <w:spacing w:after="80" w:line="280" w:lineRule="auto"/>
      </w:pPr>
      <w:r>
        <w:t xml:space="preserve">Meal Planner: liefert ernaehrungsbezogene Tagesplaene passend zu Profil und Zielkalorien.</w:t>
      </w:r>
    </w:p>
    <w:p>
      <w:pPr>
        <w:numPr>
          <w:ilvl w:val="0"/>
          <w:numId w:val="1"/>
        </w:numPr>
        <w:spacing w:after="80" w:line="280" w:lineRule="auto"/>
      </w:pPr>
      <w:r>
        <w:t xml:space="preserve">Produktkatalog: markenuebergreifende Produktauswahl statt Bindung an einen einzelnen Hersteller.</w:t>
      </w:r>
    </w:p>
    <w:p>
      <w:pPr>
        <w:pStyle w:val="BodyText"/>
      </w:pPr>
      <w:r>
        <w:t xml:space="preserve">Wichtig fuer die Positionierung: NutriMatch soll keine medizinische Diagnose geben. Die Plattform ist ein Entscheidungsassistent fuer Alltag, Praevention und Produktauswahl. Diese Abgrenzung ist nicht nur rechtlich wichtig, sondern auch fuer Vertrauen: EFSA beschreibt, dass gesundheitsbezogene Aussagen im EU-Kontext klar und wissenschaftlich begruendet sein muessen [4].</w:t>
      </w:r>
    </w:p>
    <w:p>
      <w:r>
        <w:br w:type="page"/>
      </w:r>
    </w:p>
    <w:p>
      <w:pPr>
        <w:pStyle w:val="Heading1"/>
      </w:pPr>
      <w:r>
        <w:t xml:space="preserve">4. Unique Selling Point</w:t>
      </w:r>
    </w:p>
    <w:p>
      <w:pPr>
        <w:pStyle w:val="BodyText"/>
      </w:pPr>
      <w:r>
        <w:t xml:space="preserve">Der USP von NutriMatch liegt in der Verbindung aus vier Ebenen, die im Markt oft getrennt auftreten: Produktvergleich, Personalisierung, Wearable-Daten und erklaerbare Wissensbasis. Ein normaler Shop verkauft Produkte. Eine Fitness-App zeigt Gesundheitsdaten. Ein Chatbot beantwortet Fragen. NutriMatch verbindet diese Rollen zu einem steuerbaren Empfehlungssystem.</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90" w:type="dxa"/>
          <w:left w:w="130" w:type="dxa"/>
          <w:bottom w:w="90" w:type="dxa"/>
          <w:right w:w="130" w:type="dxa"/>
        </w:tblCellMar>
      </w:tblPr>
      <w:tblGrid>
        <w:gridCol w:w="1700"/>
        <w:gridCol w:w="3650"/>
        <w:gridCol w:w="4010"/>
      </w:tblGrid>
      <w:tr>
        <w:tc>
          <w:tcPr>
            <w:tcW w:w="1700" w:type="dxa"/>
            <w:shd w:fill="E8F3EC"/>
          </w:tcPr>
          <w:p>
            <w:pPr>
              <w:pStyle w:val="TableText"/>
              <w:spacing w:after="60" w:line="260" w:lineRule="auto"/>
            </w:pPr>
            <w:r>
              <w:rPr>
                <w:b/>
              </w:rPr>
              <w:t xml:space="preserve">Ebene</w:t>
            </w:r>
          </w:p>
        </w:tc>
        <w:tc>
          <w:tcPr>
            <w:tcW w:w="3650" w:type="dxa"/>
            <w:shd w:fill="E8F3EC"/>
          </w:tcPr>
          <w:p>
            <w:pPr>
              <w:pStyle w:val="TableText"/>
              <w:spacing w:after="60" w:line="260" w:lineRule="auto"/>
            </w:pPr>
            <w:r>
              <w:rPr>
                <w:b/>
              </w:rPr>
              <w:t xml:space="preserve">Nutzen fuer Nutzer</w:t>
            </w:r>
          </w:p>
        </w:tc>
        <w:tc>
          <w:tcPr>
            <w:tcW w:w="4010" w:type="dxa"/>
            <w:shd w:fill="E8F3EC"/>
          </w:tcPr>
          <w:p>
            <w:pPr>
              <w:pStyle w:val="TableText"/>
              <w:spacing w:after="60" w:line="260" w:lineRule="auto"/>
            </w:pPr>
            <w:r>
              <w:rPr>
                <w:b/>
              </w:rPr>
              <w:t xml:space="preserve">Abgrenzung vom Wettbewerb</w:t>
            </w:r>
          </w:p>
        </w:tc>
      </w:tr>
      <w:tr>
        <w:tc>
          <w:tcPr>
            <w:tcW w:w="1700" w:type="dxa"/>
          </w:tcPr>
          <w:p>
            <w:pPr>
              <w:pStyle w:val="TableText"/>
              <w:spacing w:after="60" w:line="260" w:lineRule="auto"/>
            </w:pPr>
            <w:r>
              <w:t xml:space="preserve">Produktneutralitaet</w:t>
            </w:r>
          </w:p>
        </w:tc>
        <w:tc>
          <w:tcPr>
            <w:tcW w:w="3650" w:type="dxa"/>
          </w:tcPr>
          <w:p>
            <w:pPr>
              <w:pStyle w:val="TableText"/>
              <w:spacing w:after="60" w:line="260" w:lineRule="auto"/>
            </w:pPr>
            <w:r>
              <w:t xml:space="preserve">Vergleich ueber mehrere Anbieter und Preispunkte.</w:t>
            </w:r>
          </w:p>
        </w:tc>
        <w:tc>
          <w:tcPr>
            <w:tcW w:w="4010" w:type="dxa"/>
          </w:tcPr>
          <w:p>
            <w:pPr>
              <w:pStyle w:val="TableText"/>
              <w:spacing w:after="60" w:line="260" w:lineRule="auto"/>
            </w:pPr>
            <w:r>
              <w:t xml:space="preserve">Nicht nur Eigenmarke oder reine Affiliate-Liste.</w:t>
            </w:r>
          </w:p>
        </w:tc>
      </w:tr>
      <w:tr>
        <w:tc>
          <w:tcPr>
            <w:tcW w:w="1700" w:type="dxa"/>
          </w:tcPr>
          <w:p>
            <w:pPr>
              <w:pStyle w:val="TableText"/>
              <w:spacing w:after="60" w:line="260" w:lineRule="auto"/>
            </w:pPr>
            <w:r>
              <w:t xml:space="preserve">Datenbezug</w:t>
            </w:r>
          </w:p>
        </w:tc>
        <w:tc>
          <w:tcPr>
            <w:tcW w:w="3650" w:type="dxa"/>
          </w:tcPr>
          <w:p>
            <w:pPr>
              <w:pStyle w:val="TableText"/>
              <w:spacing w:after="60" w:line="260" w:lineRule="auto"/>
            </w:pPr>
            <w:r>
              <w:t xml:space="preserve">Empfehlungen koennen Schlaf, Aktivitaet und Puls beruecksichtigen.</w:t>
            </w:r>
          </w:p>
        </w:tc>
        <w:tc>
          <w:tcPr>
            <w:tcW w:w="4010" w:type="dxa"/>
          </w:tcPr>
          <w:p>
            <w:pPr>
              <w:pStyle w:val="TableText"/>
              <w:spacing w:after="60" w:line="260" w:lineRule="auto"/>
            </w:pPr>
            <w:r>
              <w:t xml:space="preserve">Mehr Kontext als statische Quiz-Resultate.</w:t>
            </w:r>
          </w:p>
        </w:tc>
      </w:tr>
      <w:tr>
        <w:tc>
          <w:tcPr>
            <w:tcW w:w="1700" w:type="dxa"/>
          </w:tcPr>
          <w:p>
            <w:pPr>
              <w:pStyle w:val="TableText"/>
              <w:spacing w:after="60" w:line="260" w:lineRule="auto"/>
            </w:pPr>
            <w:r>
              <w:t xml:space="preserve">Erklaerbarkeit</w:t>
            </w:r>
          </w:p>
        </w:tc>
        <w:tc>
          <w:tcPr>
            <w:tcW w:w="3650" w:type="dxa"/>
          </w:tcPr>
          <w:p>
            <w:pPr>
              <w:pStyle w:val="TableText"/>
              <w:spacing w:after="60" w:line="260" w:lineRule="auto"/>
            </w:pPr>
            <w:r>
              <w:t xml:space="preserve">Nutzer sieht Gruende, Einnahmehinweise und Warnhinweise.</w:t>
            </w:r>
          </w:p>
        </w:tc>
        <w:tc>
          <w:tcPr>
            <w:tcW w:w="4010" w:type="dxa"/>
          </w:tcPr>
          <w:p>
            <w:pPr>
              <w:pStyle w:val="TableText"/>
              <w:spacing w:after="60" w:line="260" w:lineRule="auto"/>
            </w:pPr>
            <w:r>
              <w:t xml:space="preserve">Weniger Blackbox, mehr Vertrauen.</w:t>
            </w:r>
          </w:p>
        </w:tc>
      </w:tr>
      <w:tr>
        <w:tc>
          <w:tcPr>
            <w:tcW w:w="1700" w:type="dxa"/>
          </w:tcPr>
          <w:p>
            <w:pPr>
              <w:pStyle w:val="TableText"/>
              <w:spacing w:after="60" w:line="260" w:lineRule="auto"/>
            </w:pPr>
            <w:r>
              <w:t xml:space="preserve">Wiederkehrende Nutzung</w:t>
            </w:r>
          </w:p>
        </w:tc>
        <w:tc>
          <w:tcPr>
            <w:tcW w:w="3650" w:type="dxa"/>
          </w:tcPr>
          <w:p>
            <w:pPr>
              <w:pStyle w:val="TableText"/>
              <w:spacing w:after="60" w:line="260" w:lineRule="auto"/>
            </w:pPr>
            <w:r>
              <w:t xml:space="preserve">Dashboard und Live-Daten geben Anlass zur Rueckkehr.</w:t>
            </w:r>
          </w:p>
        </w:tc>
        <w:tc>
          <w:tcPr>
            <w:tcW w:w="4010" w:type="dxa"/>
          </w:tcPr>
          <w:p>
            <w:pPr>
              <w:pStyle w:val="TableText"/>
              <w:spacing w:after="60" w:line="260" w:lineRule="auto"/>
            </w:pPr>
            <w:r>
              <w:t xml:space="preserve">Nicht nur einmaliger Kauf, sondern laufende Optimierung.</w:t>
            </w:r>
          </w:p>
        </w:tc>
      </w:tr>
    </w:tbl>
    <w:p>
      <w:pPr>
        <w:spacing w:after="100"/>
      </w:pPr>
      <w:r>
        <w:t xml:space="preserve"/>
      </w:r>
    </w:p>
    <w:p>
      <w:pPr>
        <w:pStyle w:val="Heading2"/>
      </w:pPr>
      <w:r>
        <w:t xml:space="preserve">Warum der USP skalierbar ist</w:t>
      </w:r>
    </w:p>
    <w:p>
      <w:pPr>
        <w:pStyle w:val="BodyText"/>
      </w:pPr>
      <w:r>
        <w:t xml:space="preserve">Der Kern des Produkts ist softwarebasiert. Neue Produkte, weitere Naehrstoffe, zusaetzliche Wearable-Quellen oder neue Laender koennen modular angebunden werden. Die Plattform muss nicht selbst Supplements produzieren und traegt damit weniger Lager- und Produktionsrisiko als ein klassischer Hersteller. Gleichzeitig kann sie ueber Beratung, Personalisierung und Conversion-Daten Wert schaffen.</w:t>
      </w:r>
    </w:p>
    <w:p>
      <w:pPr>
        <w:pStyle w:val="Heading1"/>
      </w:pPr>
      <w:r>
        <w:t xml:space="preserve">5. Verkaufsmodell und Go-to-Market</w:t>
      </w:r>
    </w:p>
    <w:p>
      <w:pPr>
        <w:pStyle w:val="BodyText"/>
      </w:pPr>
      <w:r>
        <w:t xml:space="preserve">NutriMatch sollte mit einem hybriden Modell starten. Ein reines Abo waere fuer den fruehen Einstieg zu hart, ein reines Affiliate-Modell waere zu werbeabhaengig. Sinnvoll ist ein Freemium-Ansatz: Basisempfehlungen kostenlos, Premium-Funktionen wie detaillierte Health-Analyse, Chat-Historie, Meal Planner, Wearable-Trends und wiederkehrende Optimierung kostenpflichtig.</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90" w:type="dxa"/>
          <w:left w:w="130" w:type="dxa"/>
          <w:bottom w:w="90" w:type="dxa"/>
          <w:right w:w="130" w:type="dxa"/>
        </w:tblCellMar>
      </w:tblPr>
      <w:tblGrid>
        <w:gridCol w:w="1700"/>
        <w:gridCol w:w="2600"/>
        <w:gridCol w:w="5060"/>
      </w:tblGrid>
      <w:tr>
        <w:tc>
          <w:tcPr>
            <w:tcW w:w="1700" w:type="dxa"/>
            <w:shd w:fill="E8F3EC"/>
          </w:tcPr>
          <w:p>
            <w:pPr>
              <w:pStyle w:val="TableText"/>
              <w:spacing w:after="60" w:line="260" w:lineRule="auto"/>
            </w:pPr>
            <w:r>
              <w:rPr>
                <w:b/>
              </w:rPr>
              <w:t xml:space="preserve">Erloesstrom</w:t>
            </w:r>
          </w:p>
        </w:tc>
        <w:tc>
          <w:tcPr>
            <w:tcW w:w="2600" w:type="dxa"/>
            <w:shd w:fill="E8F3EC"/>
          </w:tcPr>
          <w:p>
            <w:pPr>
              <w:pStyle w:val="TableText"/>
              <w:spacing w:after="60" w:line="260" w:lineRule="auto"/>
            </w:pPr>
            <w:r>
              <w:rPr>
                <w:b/>
              </w:rPr>
              <w:t xml:space="preserve">Preislogik</w:t>
            </w:r>
          </w:p>
        </w:tc>
        <w:tc>
          <w:tcPr>
            <w:tcW w:w="5060" w:type="dxa"/>
            <w:shd w:fill="E8F3EC"/>
          </w:tcPr>
          <w:p>
            <w:pPr>
              <w:pStyle w:val="TableText"/>
              <w:spacing w:after="60" w:line="260" w:lineRule="auto"/>
            </w:pPr>
            <w:r>
              <w:rPr>
                <w:b/>
              </w:rPr>
              <w:t xml:space="preserve">Warum sinnvoll</w:t>
            </w:r>
          </w:p>
        </w:tc>
      </w:tr>
      <w:tr>
        <w:tc>
          <w:tcPr>
            <w:tcW w:w="1700" w:type="dxa"/>
          </w:tcPr>
          <w:p>
            <w:pPr>
              <w:pStyle w:val="TableText"/>
              <w:spacing w:after="60" w:line="260" w:lineRule="auto"/>
            </w:pPr>
            <w:r>
              <w:t xml:space="preserve">Freemium</w:t>
            </w:r>
          </w:p>
        </w:tc>
        <w:tc>
          <w:tcPr>
            <w:tcW w:w="2600" w:type="dxa"/>
          </w:tcPr>
          <w:p>
            <w:pPr>
              <w:pStyle w:val="TableText"/>
              <w:spacing w:after="60" w:line="260" w:lineRule="auto"/>
            </w:pPr>
            <w:r>
              <w:t xml:space="preserve">Kostenloser Fragebogen + Basisempfehlungen</w:t>
            </w:r>
          </w:p>
        </w:tc>
        <w:tc>
          <w:tcPr>
            <w:tcW w:w="5060" w:type="dxa"/>
          </w:tcPr>
          <w:p>
            <w:pPr>
              <w:pStyle w:val="TableText"/>
              <w:spacing w:after="60" w:line="260" w:lineRule="auto"/>
            </w:pPr>
            <w:r>
              <w:t xml:space="preserve">Reduziert Einstiegshuerde und erzeugt Daten fuer Produktverbesserung.</w:t>
            </w:r>
          </w:p>
        </w:tc>
      </w:tr>
      <w:tr>
        <w:tc>
          <w:tcPr>
            <w:tcW w:w="1700" w:type="dxa"/>
          </w:tcPr>
          <w:p>
            <w:pPr>
              <w:pStyle w:val="TableText"/>
              <w:spacing w:after="60" w:line="260" w:lineRule="auto"/>
            </w:pPr>
            <w:r>
              <w:t xml:space="preserve">Premium-Abo</w:t>
            </w:r>
          </w:p>
        </w:tc>
        <w:tc>
          <w:tcPr>
            <w:tcW w:w="2600" w:type="dxa"/>
          </w:tcPr>
          <w:p>
            <w:pPr>
              <w:pStyle w:val="TableText"/>
              <w:spacing w:after="60" w:line="260" w:lineRule="auto"/>
            </w:pPr>
            <w:r>
              <w:t xml:space="preserve">ca. 7,99-9,99 EUR pro Monat</w:t>
            </w:r>
          </w:p>
        </w:tc>
        <w:tc>
          <w:tcPr>
            <w:tcW w:w="5060" w:type="dxa"/>
          </w:tcPr>
          <w:p>
            <w:pPr>
              <w:pStyle w:val="TableText"/>
              <w:spacing w:after="60" w:line="260" w:lineRule="auto"/>
            </w:pPr>
            <w:r>
              <w:t xml:space="preserve">Wiederkehrende Umsaetze fuer Analyse, Chat, Meal Planner und Wearables.</w:t>
            </w:r>
          </w:p>
        </w:tc>
      </w:tr>
      <w:tr>
        <w:tc>
          <w:tcPr>
            <w:tcW w:w="1700" w:type="dxa"/>
          </w:tcPr>
          <w:p>
            <w:pPr>
              <w:pStyle w:val="TableText"/>
              <w:spacing w:after="60" w:line="260" w:lineRule="auto"/>
            </w:pPr>
            <w:r>
              <w:t xml:space="preserve">Affiliate/Provision</w:t>
            </w:r>
          </w:p>
        </w:tc>
        <w:tc>
          <w:tcPr>
            <w:tcW w:w="2600" w:type="dxa"/>
          </w:tcPr>
          <w:p>
            <w:pPr>
              <w:pStyle w:val="TableText"/>
              <w:spacing w:after="60" w:line="260" w:lineRule="auto"/>
            </w:pPr>
            <w:r>
              <w:t xml:space="preserve">Provision bei vermittelten Produktkaeufen</w:t>
            </w:r>
          </w:p>
        </w:tc>
        <w:tc>
          <w:tcPr>
            <w:tcW w:w="5060" w:type="dxa"/>
          </w:tcPr>
          <w:p>
            <w:pPr>
              <w:pStyle w:val="TableText"/>
              <w:spacing w:after="60" w:line="260" w:lineRule="auto"/>
            </w:pPr>
            <w:r>
              <w:t xml:space="preserve">Monetarisiert Kaufintention ohne eigenes Lager.</w:t>
            </w:r>
          </w:p>
        </w:tc>
      </w:tr>
      <w:tr>
        <w:tc>
          <w:tcPr>
            <w:tcW w:w="1700" w:type="dxa"/>
          </w:tcPr>
          <w:p>
            <w:pPr>
              <w:pStyle w:val="TableText"/>
              <w:spacing w:after="60" w:line="260" w:lineRule="auto"/>
            </w:pPr>
            <w:r>
              <w:t xml:space="preserve">B2B-Piloten</w:t>
            </w:r>
          </w:p>
        </w:tc>
        <w:tc>
          <w:tcPr>
            <w:tcW w:w="2600" w:type="dxa"/>
          </w:tcPr>
          <w:p>
            <w:pPr>
              <w:pStyle w:val="TableText"/>
              <w:spacing w:after="60" w:line="260" w:lineRule="auto"/>
            </w:pPr>
            <w:r>
              <w:t xml:space="preserve">Campus, Fitnessstudio, Corporate Wellness</w:t>
            </w:r>
          </w:p>
        </w:tc>
        <w:tc>
          <w:tcPr>
            <w:tcW w:w="5060" w:type="dxa"/>
          </w:tcPr>
          <w:p>
            <w:pPr>
              <w:pStyle w:val="TableText"/>
              <w:spacing w:after="60" w:line="260" w:lineRule="auto"/>
            </w:pPr>
            <w:r>
              <w:t xml:space="preserve">Schnellere Nutzerakquise in Gruppen und glaubwuerdige Testumgebungen.</w:t>
            </w:r>
          </w:p>
        </w:tc>
      </w:tr>
      <w:tr>
        <w:tc>
          <w:tcPr>
            <w:tcW w:w="1700" w:type="dxa"/>
          </w:tcPr>
          <w:p>
            <w:pPr>
              <w:pStyle w:val="TableText"/>
              <w:spacing w:after="60" w:line="260" w:lineRule="auto"/>
            </w:pPr>
            <w:r>
              <w:t xml:space="preserve">White-Label/API spaeter</w:t>
            </w:r>
          </w:p>
        </w:tc>
        <w:tc>
          <w:tcPr>
            <w:tcW w:w="2600" w:type="dxa"/>
          </w:tcPr>
          <w:p>
            <w:pPr>
              <w:pStyle w:val="TableText"/>
              <w:spacing w:after="60" w:line="260" w:lineRule="auto"/>
            </w:pPr>
            <w:r>
              <w:t xml:space="preserve">Lizenzmodell fuer Partner</w:t>
            </w:r>
          </w:p>
        </w:tc>
        <w:tc>
          <w:tcPr>
            <w:tcW w:w="5060" w:type="dxa"/>
          </w:tcPr>
          <w:p>
            <w:pPr>
              <w:pStyle w:val="TableText"/>
              <w:spacing w:after="60" w:line="260" w:lineRule="auto"/>
            </w:pPr>
            <w:r>
              <w:t xml:space="preserve">Skalierbares Modell bei validierten Algorithmen und Datenprozessen.</w:t>
            </w:r>
          </w:p>
        </w:tc>
      </w:tr>
    </w:tbl>
    <w:p>
      <w:pPr>
        <w:spacing w:after="100"/>
      </w:pPr>
      <w:r>
        <w:t xml:space="preserve"/>
      </w:r>
    </w:p>
    <w:p>
      <w:pPr>
        <w:pStyle w:val="Heading2"/>
      </w:pPr>
      <w:r>
        <w:t xml:space="preserve">Erste Zielgruppe</w:t>
      </w:r>
    </w:p>
    <w:p>
      <w:pPr>
        <w:pStyle w:val="BodyText"/>
      </w:pPr>
      <w:r>
        <w:t xml:space="preserve">Der erste Markt sollte nicht ?alle Gesundheitsinteressierten? sein, sondern eine klare Early-Adopter-Gruppe: Studierende und junge Berufstaetige mit Wearables, Fitnessinteresse, veganer/vegetarischer Ernaehrung oder konkreten Zielen wie besserer Schlaf, mehr Energie oder Muskelaufbau. Diese Gruppe ist digital erreichbar, probiert Apps aus und versteht den Nutzen von Datenintegration schneller.</w:t>
      </w:r>
    </w:p>
    <w:p>
      <w:pPr>
        <w:pStyle w:val="Heading1"/>
      </w:pPr>
      <w:r>
        <w:t xml:space="preserve">6. Skalierbarkeit und operative Steuerbarkeit</w:t>
      </w:r>
    </w:p>
    <w:p>
      <w:pPr>
        <w:pStyle w:val="BodyText"/>
      </w:pPr>
      <w:r>
        <w:t xml:space="preserve">Skalierbarkeit entsteht durch drei Eigenschaften: digitale Distribution, modulare Datenquellen und wiederverwendbare Wissenslogik. Die Plattform kann in Deutschland starten, ohne physische Infrastruktur aufzubauen. Wenn die Empfehlungslogik stabil ist, lassen sich neue Produktdaten, weitere Sprachen, neue Shop-Partner und zusaetzliche Wearables integrieren.</w:t>
      </w:r>
    </w:p>
    <w:p>
      <w:pPr>
        <w:numPr>
          <w:ilvl w:val="0"/>
          <w:numId w:val="1"/>
        </w:numPr>
        <w:spacing w:after="80" w:line="280" w:lineRule="auto"/>
      </w:pPr>
      <w:r>
        <w:t xml:space="preserve">Technische Skalierung: React/FastAPI-Architektur, API-basierte Module, getrennte Services fuer Chat, Health und Recommendations.</w:t>
      </w:r>
    </w:p>
    <w:p>
      <w:pPr>
        <w:numPr>
          <w:ilvl w:val="0"/>
          <w:numId w:val="1"/>
        </w:numPr>
        <w:spacing w:after="80" w:line="280" w:lineRule="auto"/>
      </w:pPr>
      <w:r>
        <w:t xml:space="preserve">Daten-Skalierung: Produktkatalog und Supplement-Wissensbasis koennen versioniert und erweitert werden.</w:t>
      </w:r>
    </w:p>
    <w:p>
      <w:pPr>
        <w:numPr>
          <w:ilvl w:val="0"/>
          <w:numId w:val="1"/>
        </w:numPr>
        <w:spacing w:after="80" w:line="280" w:lineRule="auto"/>
      </w:pPr>
      <w:r>
        <w:t xml:space="preserve">Vertriebs-Skalierung: Online-Kanaele, Campus-Partnerschaften und Fitness-Communities erlauben kostenguenstige Pilotierung.</w:t>
      </w:r>
    </w:p>
    <w:p>
      <w:pPr>
        <w:numPr>
          <w:ilvl w:val="0"/>
          <w:numId w:val="1"/>
        </w:numPr>
        <w:spacing w:after="80" w:line="280" w:lineRule="auto"/>
      </w:pPr>
      <w:r>
        <w:t xml:space="preserve">Steuerbarkeit: KPI-basiert ueber Aktivierungsrate, Empfehlung-zu-Kauf-Rate, Premium-Conversion, Churn und CAC.</w:t>
      </w:r>
    </w:p>
    <w:p>
      <w:pPr>
        <w:pStyle w:val="BodyText"/>
      </w:pPr>
      <w:r>
        <w:t xml:space="preserve">Damit das Unternehmen steuerbar bleibt, sollte die erste Phase bewusst begrenzt werden: ein Land, ein klarer Produktkatalog, wenige Wearable-Quellen und ein enger Claim-Rahmen. Wachstum erfolgt erst nach Validierung der Conversion- und Retention-Kennzahlen.</w:t>
      </w:r>
    </w:p>
    <w:p>
      <w:r>
        <w:br w:type="page"/>
      </w:r>
    </w:p>
    <w:p>
      <w:pPr>
        <w:pStyle w:val="Heading1"/>
      </w:pPr>
      <w:r>
        <w:t xml:space="preserve">7. Kapitalbedarf, Bewertung und Unternehmensanteile</w:t>
      </w:r>
    </w:p>
    <w:p>
      <w:pPr>
        <w:pStyle w:val="BodyText"/>
      </w:pPr>
      <w:r>
        <w:t xml:space="preserve">Fuer die naechsten 12 Monate wird ein Pre-Seed-Kapitalbedarf von 250.000 EUR vorgeschlagen. Ziel ist nicht sofortiger Massenmarkt, sondern ein belastbarer MVP mit echten Nutzern, ersten Umsaetzen und regulatorisch sauberer Kommunikation.</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90" w:type="dxa"/>
          <w:left w:w="130" w:type="dxa"/>
          <w:bottom w:w="90" w:type="dxa"/>
          <w:right w:w="130" w:type="dxa"/>
        </w:tblCellMar>
      </w:tblPr>
      <w:tblGrid>
        <w:gridCol w:w="2200"/>
        <w:gridCol w:w="1700"/>
        <w:gridCol w:w="5460"/>
      </w:tblGrid>
      <w:tr>
        <w:tc>
          <w:tcPr>
            <w:tcW w:w="2200" w:type="dxa"/>
            <w:shd w:fill="E8F3EC"/>
          </w:tcPr>
          <w:p>
            <w:pPr>
              <w:pStyle w:val="TableText"/>
              <w:spacing w:after="60" w:line="260" w:lineRule="auto"/>
            </w:pPr>
            <w:r>
              <w:rPr>
                <w:b/>
              </w:rPr>
              <w:t xml:space="preserve">Budgetposten</w:t>
            </w:r>
          </w:p>
        </w:tc>
        <w:tc>
          <w:tcPr>
            <w:tcW w:w="1700" w:type="dxa"/>
            <w:shd w:fill="E8F3EC"/>
          </w:tcPr>
          <w:p>
            <w:pPr>
              <w:pStyle w:val="TableText"/>
              <w:spacing w:after="60" w:line="260" w:lineRule="auto"/>
            </w:pPr>
            <w:r>
              <w:rPr>
                <w:b/>
              </w:rPr>
              <w:t xml:space="preserve">Betrag</w:t>
            </w:r>
          </w:p>
        </w:tc>
        <w:tc>
          <w:tcPr>
            <w:tcW w:w="5460" w:type="dxa"/>
            <w:shd w:fill="E8F3EC"/>
          </w:tcPr>
          <w:p>
            <w:pPr>
              <w:pStyle w:val="TableText"/>
              <w:spacing w:after="60" w:line="260" w:lineRule="auto"/>
            </w:pPr>
            <w:r>
              <w:rPr>
                <w:b/>
              </w:rPr>
              <w:t xml:space="preserve">Begruendung</w:t>
            </w:r>
          </w:p>
        </w:tc>
      </w:tr>
      <w:tr>
        <w:tc>
          <w:tcPr>
            <w:tcW w:w="2200" w:type="dxa"/>
          </w:tcPr>
          <w:p>
            <w:pPr>
              <w:pStyle w:val="TableText"/>
              <w:spacing w:after="60" w:line="260" w:lineRule="auto"/>
            </w:pPr>
            <w:r>
              <w:t xml:space="preserve">Produktentwicklung</w:t>
            </w:r>
          </w:p>
        </w:tc>
        <w:tc>
          <w:tcPr>
            <w:tcW w:w="1700" w:type="dxa"/>
          </w:tcPr>
          <w:p>
            <w:pPr>
              <w:pStyle w:val="TableText"/>
              <w:spacing w:after="60" w:line="260" w:lineRule="auto"/>
            </w:pPr>
            <w:r>
              <w:t xml:space="preserve">80.000 EUR</w:t>
            </w:r>
          </w:p>
        </w:tc>
        <w:tc>
          <w:tcPr>
            <w:tcW w:w="5460" w:type="dxa"/>
          </w:tcPr>
          <w:p>
            <w:pPr>
              <w:pStyle w:val="TableText"/>
              <w:spacing w:after="60" w:line="260" w:lineRule="auto"/>
            </w:pPr>
            <w:r>
              <w:t xml:space="preserve">Stabilisierung von Backend, Frontend, Wearable Bridge, Recommendation Engine und Dashboard.</w:t>
            </w:r>
          </w:p>
        </w:tc>
      </w:tr>
      <w:tr>
        <w:tc>
          <w:tcPr>
            <w:tcW w:w="2200" w:type="dxa"/>
          </w:tcPr>
          <w:p>
            <w:pPr>
              <w:pStyle w:val="TableText"/>
              <w:spacing w:after="60" w:line="260" w:lineRule="auto"/>
            </w:pPr>
            <w:r>
              <w:t xml:space="preserve">Daten, Qualitaet, Compliance</w:t>
            </w:r>
          </w:p>
        </w:tc>
        <w:tc>
          <w:tcPr>
            <w:tcW w:w="1700" w:type="dxa"/>
          </w:tcPr>
          <w:p>
            <w:pPr>
              <w:pStyle w:val="TableText"/>
              <w:spacing w:after="60" w:line="260" w:lineRule="auto"/>
            </w:pPr>
            <w:r>
              <w:t xml:space="preserve">35.000 EUR</w:t>
            </w:r>
          </w:p>
        </w:tc>
        <w:tc>
          <w:tcPr>
            <w:tcW w:w="5460" w:type="dxa"/>
          </w:tcPr>
          <w:p>
            <w:pPr>
              <w:pStyle w:val="TableText"/>
              <w:spacing w:after="60" w:line="260" w:lineRule="auto"/>
            </w:pPr>
            <w:r>
              <w:t xml:space="preserve">Pflege der Wissensbasis, Quellenpruefung, rechtliche Claim-Pruefung, Datenschutzkonzept.</w:t>
            </w:r>
          </w:p>
        </w:tc>
      </w:tr>
      <w:tr>
        <w:tc>
          <w:tcPr>
            <w:tcW w:w="2200" w:type="dxa"/>
          </w:tcPr>
          <w:p>
            <w:pPr>
              <w:pStyle w:val="TableText"/>
              <w:spacing w:after="60" w:line="260" w:lineRule="auto"/>
            </w:pPr>
            <w:r>
              <w:t xml:space="preserve">Marketing und Pilotprojekte</w:t>
            </w:r>
          </w:p>
        </w:tc>
        <w:tc>
          <w:tcPr>
            <w:tcW w:w="1700" w:type="dxa"/>
          </w:tcPr>
          <w:p>
            <w:pPr>
              <w:pStyle w:val="TableText"/>
              <w:spacing w:after="60" w:line="260" w:lineRule="auto"/>
            </w:pPr>
            <w:r>
              <w:t xml:space="preserve">60.000 EUR</w:t>
            </w:r>
          </w:p>
        </w:tc>
        <w:tc>
          <w:tcPr>
            <w:tcW w:w="5460" w:type="dxa"/>
          </w:tcPr>
          <w:p>
            <w:pPr>
              <w:pStyle w:val="TableText"/>
              <w:spacing w:after="60" w:line="260" w:lineRule="auto"/>
            </w:pPr>
            <w:r>
              <w:t xml:space="preserve">Campus-/Fitness-Piloten, Performance-Marketing, Landing Pages, Nutzerinterviews.</w:t>
            </w:r>
          </w:p>
        </w:tc>
      </w:tr>
      <w:tr>
        <w:tc>
          <w:tcPr>
            <w:tcW w:w="2200" w:type="dxa"/>
          </w:tcPr>
          <w:p>
            <w:pPr>
              <w:pStyle w:val="TableText"/>
              <w:spacing w:after="60" w:line="260" w:lineRule="auto"/>
            </w:pPr>
            <w:r>
              <w:t xml:space="preserve">Operations und Legal</w:t>
            </w:r>
          </w:p>
        </w:tc>
        <w:tc>
          <w:tcPr>
            <w:tcW w:w="1700" w:type="dxa"/>
          </w:tcPr>
          <w:p>
            <w:pPr>
              <w:pStyle w:val="TableText"/>
              <w:spacing w:after="60" w:line="260" w:lineRule="auto"/>
            </w:pPr>
            <w:r>
              <w:t xml:space="preserve">35.000 EUR</w:t>
            </w:r>
          </w:p>
        </w:tc>
        <w:tc>
          <w:tcPr>
            <w:tcW w:w="5460" w:type="dxa"/>
          </w:tcPr>
          <w:p>
            <w:pPr>
              <w:pStyle w:val="TableText"/>
              <w:spacing w:after="60" w:line="260" w:lineRule="auto"/>
            </w:pPr>
            <w:r>
              <w:t xml:space="preserve">GmbH-Struktur, Vertrage mit Partnern, Buchhaltung, Datenschutz, Zahlungsanbieter.</w:t>
            </w:r>
          </w:p>
        </w:tc>
      </w:tr>
      <w:tr>
        <w:tc>
          <w:tcPr>
            <w:tcW w:w="2200" w:type="dxa"/>
          </w:tcPr>
          <w:p>
            <w:pPr>
              <w:pStyle w:val="TableText"/>
              <w:spacing w:after="60" w:line="260" w:lineRule="auto"/>
            </w:pPr>
            <w:r>
              <w:t xml:space="preserve">Reserve</w:t>
            </w:r>
          </w:p>
        </w:tc>
        <w:tc>
          <w:tcPr>
            <w:tcW w:w="1700" w:type="dxa"/>
          </w:tcPr>
          <w:p>
            <w:pPr>
              <w:pStyle w:val="TableText"/>
              <w:spacing w:after="60" w:line="260" w:lineRule="auto"/>
            </w:pPr>
            <w:r>
              <w:t xml:space="preserve">40.000 EUR</w:t>
            </w:r>
          </w:p>
        </w:tc>
        <w:tc>
          <w:tcPr>
            <w:tcW w:w="5460" w:type="dxa"/>
          </w:tcPr>
          <w:p>
            <w:pPr>
              <w:pStyle w:val="TableText"/>
              <w:spacing w:after="60" w:line="260" w:lineRule="auto"/>
            </w:pPr>
            <w:r>
              <w:t xml:space="preserve">Puffer fuer technische Risiken, externe Beratung und laengere Pilotphase.</w:t>
            </w:r>
          </w:p>
        </w:tc>
      </w:tr>
      <w:tr>
        <w:tc>
          <w:tcPr>
            <w:tcW w:w="2200" w:type="dxa"/>
          </w:tcPr>
          <w:p>
            <w:pPr>
              <w:pStyle w:val="TableText"/>
              <w:spacing w:after="60" w:line="260" w:lineRule="auto"/>
            </w:pPr>
            <w:r>
              <w:t xml:space="preserve">Gesamt</w:t>
            </w:r>
          </w:p>
        </w:tc>
        <w:tc>
          <w:tcPr>
            <w:tcW w:w="1700" w:type="dxa"/>
          </w:tcPr>
          <w:p>
            <w:pPr>
              <w:pStyle w:val="TableText"/>
              <w:spacing w:after="60" w:line="260" w:lineRule="auto"/>
            </w:pPr>
            <w:r>
              <w:t xml:space="preserve">250.000 EUR</w:t>
            </w:r>
          </w:p>
        </w:tc>
        <w:tc>
          <w:tcPr>
            <w:tcW w:w="5460" w:type="dxa"/>
          </w:tcPr>
          <w:p>
            <w:pPr>
              <w:pStyle w:val="TableText"/>
              <w:spacing w:after="60" w:line="260" w:lineRule="auto"/>
            </w:pPr>
            <w:r>
              <w:t xml:space="preserve">Runway fuer ca. 12 Monate bis zu validierten KPIs.</w:t>
            </w:r>
          </w:p>
        </w:tc>
      </w:tr>
    </w:tbl>
    <w:p>
      <w:pPr>
        <w:spacing w:after="100"/>
      </w:pPr>
      <w:r>
        <w:t xml:space="preserve"/>
      </w:r>
    </w:p>
    <w:p>
      <w:pPr>
        <w:pStyle w:val="Heading2"/>
      </w:pPr>
      <w:r>
        <w:t xml:space="preserve">Unternehmensbewertung</w:t>
      </w:r>
    </w:p>
    <w:p>
      <w:pPr>
        <w:pStyle w:val="BodyText"/>
      </w:pPr>
      <w:r>
        <w:t xml:space="preserve">Da NutriMatch ein fruehes Projekt ohne stabile Umsaetze ist, waere eine klassische DCF-Bewertung nicht sinnvoll. Plausibler ist eine Meilensteinbewertung: vorhandener MVP, funktionsfaehige Apple-Watch-Integration, KI-Chatbot, kuratierte Wissensbasis, Produktkatalog, Meal Planner und ein klarer Marktzugang. Auf dieser Basis wird eine Pre-Money-Bewertung von 1,0 Mio. EUR angesetzt. Bei 250.000 EUR Investment ergibt sich eine Post-Money-Bewertung von 1,25 Mio. EUR. Der Investor erhaelt damit 20 Prozent Unternehmensanteile.</w:t>
      </w:r>
    </w:p>
    <w:p>
      <w:pPr>
        <w:pStyle w:val="Heading2"/>
      </w:pPr>
      <w:r>
        <w:t xml:space="preserve">Warum 20 Prozent vertretbar sind</w:t>
      </w:r>
    </w:p>
    <w:p>
      <w:pPr>
        <w:pStyle w:val="BodyText"/>
      </w:pPr>
      <w:r>
        <w:t xml:space="preserve">20 Prozent sind hoch genug, um fuer einen fruehen Investor attraktiv zu sein, aber niedrig genug, damit das Gruenderteam steuerbar bleibt. Mehr als 25 Prozent in der ersten Runde wuerde spaetere Finanzierungsrunden erschweren. Alternativ koennte ein Wandeldarlehen mit Cap bei 1,25 Mio. EUR und Discount vereinbart werden. Fuer die Projektpraesentation ist jedoch ein einfacher Equity Case transparenter: 250.000 EUR gegen 20 Prozent.</w:t>
      </w:r>
    </w:p>
    <w:p>
      <w:pPr>
        <w:pStyle w:val="Heading1"/>
      </w:pPr>
      <w:r>
        <w:t xml:space="preserve">8. Risiken und Gegenmassnahmen</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90" w:type="dxa"/>
          <w:left w:w="130" w:type="dxa"/>
          <w:bottom w:w="90" w:type="dxa"/>
          <w:right w:w="130" w:type="dxa"/>
        </w:tblCellMar>
      </w:tblPr>
      <w:tblGrid>
        <w:gridCol w:w="1800"/>
        <w:gridCol w:w="3500"/>
        <w:gridCol w:w="4060"/>
      </w:tblGrid>
      <w:tr>
        <w:tc>
          <w:tcPr>
            <w:tcW w:w="1800" w:type="dxa"/>
            <w:shd w:fill="E8F3EC"/>
          </w:tcPr>
          <w:p>
            <w:pPr>
              <w:pStyle w:val="TableText"/>
              <w:spacing w:after="60" w:line="260" w:lineRule="auto"/>
            </w:pPr>
            <w:r>
              <w:rPr>
                <w:b/>
              </w:rPr>
              <w:t xml:space="preserve">Risiko</w:t>
            </w:r>
          </w:p>
        </w:tc>
        <w:tc>
          <w:tcPr>
            <w:tcW w:w="3500" w:type="dxa"/>
            <w:shd w:fill="E8F3EC"/>
          </w:tcPr>
          <w:p>
            <w:pPr>
              <w:pStyle w:val="TableText"/>
              <w:spacing w:after="60" w:line="260" w:lineRule="auto"/>
            </w:pPr>
            <w:r>
              <w:rPr>
                <w:b/>
              </w:rPr>
              <w:t xml:space="preserve">Auswirkung</w:t>
            </w:r>
          </w:p>
        </w:tc>
        <w:tc>
          <w:tcPr>
            <w:tcW w:w="4060" w:type="dxa"/>
            <w:shd w:fill="E8F3EC"/>
          </w:tcPr>
          <w:p>
            <w:pPr>
              <w:pStyle w:val="TableText"/>
              <w:spacing w:after="60" w:line="260" w:lineRule="auto"/>
            </w:pPr>
            <w:r>
              <w:rPr>
                <w:b/>
              </w:rPr>
              <w:t xml:space="preserve">Gegenmassnahme</w:t>
            </w:r>
          </w:p>
        </w:tc>
      </w:tr>
      <w:tr>
        <w:tc>
          <w:tcPr>
            <w:tcW w:w="1800" w:type="dxa"/>
          </w:tcPr>
          <w:p>
            <w:pPr>
              <w:pStyle w:val="TableText"/>
              <w:spacing w:after="60" w:line="260" w:lineRule="auto"/>
            </w:pPr>
            <w:r>
              <w:t xml:space="preserve">Regulatorische Claims</w:t>
            </w:r>
          </w:p>
        </w:tc>
        <w:tc>
          <w:tcPr>
            <w:tcW w:w="3500" w:type="dxa"/>
          </w:tcPr>
          <w:p>
            <w:pPr>
              <w:pStyle w:val="TableText"/>
              <w:spacing w:after="60" w:line="260" w:lineRule="auto"/>
            </w:pPr>
            <w:r>
              <w:t xml:space="preserve">Falsche Gesundheitsversprechen koennen rechtlich problematisch sein.</w:t>
            </w:r>
          </w:p>
        </w:tc>
        <w:tc>
          <w:tcPr>
            <w:tcW w:w="4060" w:type="dxa"/>
          </w:tcPr>
          <w:p>
            <w:pPr>
              <w:pStyle w:val="TableText"/>
              <w:spacing w:after="60" w:line="260" w:lineRule="auto"/>
            </w:pPr>
            <w:r>
              <w:t xml:space="preserve">Nur allgemeine Hinweise, Quellenbezug, keine Diagnose, EFSA-konforme Claim-Sprache.</w:t>
            </w:r>
          </w:p>
        </w:tc>
      </w:tr>
      <w:tr>
        <w:tc>
          <w:tcPr>
            <w:tcW w:w="1800" w:type="dxa"/>
          </w:tcPr>
          <w:p>
            <w:pPr>
              <w:pStyle w:val="TableText"/>
              <w:spacing w:after="60" w:line="260" w:lineRule="auto"/>
            </w:pPr>
            <w:r>
              <w:t xml:space="preserve">Datenqualitaet</w:t>
            </w:r>
          </w:p>
        </w:tc>
        <w:tc>
          <w:tcPr>
            <w:tcW w:w="3500" w:type="dxa"/>
          </w:tcPr>
          <w:p>
            <w:pPr>
              <w:pStyle w:val="TableText"/>
              <w:spacing w:after="60" w:line="260" w:lineRule="auto"/>
            </w:pPr>
            <w:r>
              <w:t xml:space="preserve">Wearable-Daten koennen unvollstaendig oder verrauscht sein.</w:t>
            </w:r>
          </w:p>
        </w:tc>
        <w:tc>
          <w:tcPr>
            <w:tcW w:w="4060" w:type="dxa"/>
          </w:tcPr>
          <w:p>
            <w:pPr>
              <w:pStyle w:val="TableText"/>
              <w:spacing w:after="60" w:line="260" w:lineRule="auto"/>
            </w:pPr>
            <w:r>
              <w:t xml:space="preserve">Trends statt Diagnosen, Plausibilitaetschecks, Nutzerhinweise.</w:t>
            </w:r>
          </w:p>
        </w:tc>
      </w:tr>
      <w:tr>
        <w:tc>
          <w:tcPr>
            <w:tcW w:w="1800" w:type="dxa"/>
          </w:tcPr>
          <w:p>
            <w:pPr>
              <w:pStyle w:val="TableText"/>
              <w:spacing w:after="60" w:line="260" w:lineRule="auto"/>
            </w:pPr>
            <w:r>
              <w:t xml:space="preserve">Vertrauen</w:t>
            </w:r>
          </w:p>
        </w:tc>
        <w:tc>
          <w:tcPr>
            <w:tcW w:w="3500" w:type="dxa"/>
          </w:tcPr>
          <w:p>
            <w:pPr>
              <w:pStyle w:val="TableText"/>
              <w:spacing w:after="60" w:line="260" w:lineRule="auto"/>
            </w:pPr>
            <w:r>
              <w:t xml:space="preserve">Nutzer misstrauen Affiliate-Empfehlungen.</w:t>
            </w:r>
          </w:p>
        </w:tc>
        <w:tc>
          <w:tcPr>
            <w:tcW w:w="4060" w:type="dxa"/>
          </w:tcPr>
          <w:p>
            <w:pPr>
              <w:pStyle w:val="TableText"/>
              <w:spacing w:after="60" w:line="260" w:lineRule="auto"/>
            </w:pPr>
            <w:r>
              <w:t xml:space="preserve">Transparenz ueber Kriterien, Trennung von Score und Provision.</w:t>
            </w:r>
          </w:p>
        </w:tc>
      </w:tr>
      <w:tr>
        <w:tc>
          <w:tcPr>
            <w:tcW w:w="1800" w:type="dxa"/>
          </w:tcPr>
          <w:p>
            <w:pPr>
              <w:pStyle w:val="TableText"/>
              <w:spacing w:after="60" w:line="260" w:lineRule="auto"/>
            </w:pPr>
            <w:r>
              <w:t xml:space="preserve">Akquise-Kosten</w:t>
            </w:r>
          </w:p>
        </w:tc>
        <w:tc>
          <w:tcPr>
            <w:tcW w:w="3500" w:type="dxa"/>
          </w:tcPr>
          <w:p>
            <w:pPr>
              <w:pStyle w:val="TableText"/>
              <w:spacing w:after="60" w:line="260" w:lineRule="auto"/>
            </w:pPr>
            <w:r>
              <w:t xml:space="preserve">Consumer Apps koennen teuer zu skalieren sein.</w:t>
            </w:r>
          </w:p>
        </w:tc>
        <w:tc>
          <w:tcPr>
            <w:tcW w:w="4060" w:type="dxa"/>
          </w:tcPr>
          <w:p>
            <w:pPr>
              <w:pStyle w:val="TableText"/>
              <w:spacing w:after="60" w:line="260" w:lineRule="auto"/>
            </w:pPr>
            <w:r>
              <w:t xml:space="preserve">B2B-Piloten, Campus-Communities, Fitness-Partner.</w:t>
            </w:r>
          </w:p>
        </w:tc>
      </w:tr>
      <w:tr>
        <w:tc>
          <w:tcPr>
            <w:tcW w:w="1800" w:type="dxa"/>
          </w:tcPr>
          <w:p>
            <w:pPr>
              <w:pStyle w:val="TableText"/>
              <w:spacing w:after="60" w:line="260" w:lineRule="auto"/>
            </w:pPr>
            <w:r>
              <w:t xml:space="preserve">Technische Komplexitaet</w:t>
            </w:r>
          </w:p>
        </w:tc>
        <w:tc>
          <w:tcPr>
            <w:tcW w:w="3500" w:type="dxa"/>
          </w:tcPr>
          <w:p>
            <w:pPr>
              <w:pStyle w:val="TableText"/>
              <w:spacing w:after="60" w:line="260" w:lineRule="auto"/>
            </w:pPr>
            <w:r>
              <w:t xml:space="preserve">Viele Datenquellen erhoehen Wartung.</w:t>
            </w:r>
          </w:p>
        </w:tc>
        <w:tc>
          <w:tcPr>
            <w:tcW w:w="4060" w:type="dxa"/>
          </w:tcPr>
          <w:p>
            <w:pPr>
              <w:pStyle w:val="TableText"/>
              <w:spacing w:after="60" w:line="260" w:lineRule="auto"/>
            </w:pPr>
            <w:r>
              <w:t xml:space="preserve">Zuerst Apple Watch/HeartCast, spaeter modulare Integrationen.</w:t>
            </w:r>
          </w:p>
        </w:tc>
      </w:tr>
    </w:tbl>
    <w:p>
      <w:pPr>
        <w:spacing w:after="100"/>
      </w:pPr>
      <w:r>
        <w:t xml:space="preserve"/>
      </w:r>
    </w:p>
    <w:p>
      <w:pPr>
        <w:pStyle w:val="Heading1"/>
      </w:pPr>
      <w:r>
        <w:t xml:space="preserve">9. Fazit</w:t>
      </w:r>
    </w:p>
    <w:p>
      <w:pPr>
        <w:pStyle w:val="BodyText"/>
      </w:pPr>
      <w:r>
        <w:t xml:space="preserve">NutriMatch hat eine plausible Marktchance, weil drei Entwicklungen zusammenlaufen: ein wachsender Supplement-Markt, steigende Nachfrage nach personalisierter Ernaehrung und zunehmende Nutzung von Wearables. Der Prototyp zeigt bereits die entscheidende Produktlogik: persoenliches Profil, markenuebergreifende Produktempfehlung, erklaerbare Einnahmehinweise, KI-Chat und Live-Gesundheitsdaten. Der naechste Schritt ist nicht mehr die reine Idee, sondern die Validierung: Nutzeraktivierung, Vertrauen, Zahlungsbereitschaft und Conversion zu echten Produktkaeufen.</w:t>
      </w:r>
    </w:p>
    <w:p>
      <w:pPr>
        <w:pStyle w:val="BodyText"/>
      </w:pPr>
      <w:r>
        <w:t xml:space="preserve">Mit 250.000 EUR Pre-Seed-Kapital und einer Abgabe von 20 Prozent Firmenanteilen kann NutriMatch kontrolliert weiterentwickelt werden. Das Unternehmen bleibt steuerbar, weil die erste Phase klar begrenzt ist: Deutschland, ein fokussierter Produktkatalog, ein rechtlich vorsichtiger Empfehlungsrahmen und messbare KPIs. Wenn diese Phase funktioniert, ist Skalierung ueber weitere Produktkategorien, Partnerkanaele, Wearables und B2B-Modelle realistisch.</w:t>
      </w:r>
    </w:p>
    <w:p>
      <w:pPr>
        <w:pStyle w:val="Heading1"/>
      </w:pPr>
      <w:r>
        <w:t xml:space="preserve">Quellen</w:t>
      </w:r>
    </w:p>
    <w:p>
      <w:pPr>
        <w:pStyle w:val="SmallText"/>
        <w:spacing w:after="80" w:line="260" w:lineRule="auto"/>
      </w:pPr>
      <w:r>
        <w:t xml:space="preserve">[1] Grand View Research: Europe Dietary Supplements Market Size Report, 2033. https://www.grandviewresearch.com/industry-analysis/europe-dietary-supplements-market-report</w:t>
      </w:r>
    </w:p>
    <w:p>
      <w:pPr>
        <w:pStyle w:val="SmallText"/>
        <w:spacing w:after="80" w:line="260" w:lineRule="auto"/>
      </w:pPr>
      <w:r>
        <w:t xml:space="preserve">[2] Grand View Research: Personalized Retail Nutrition And Wellness Market Report, 2030. https://www.grandviewresearch.com/industry-analysis/personalized-retail-nutrition-wellness-market</w:t>
      </w:r>
    </w:p>
    <w:p>
      <w:pPr>
        <w:pStyle w:val="SmallText"/>
        <w:spacing w:after="80" w:line="260" w:lineRule="auto"/>
      </w:pPr>
      <w:r>
        <w:t xml:space="preserve">[3] Grand View Research: Wearable Technology Market Size, Share Report 2026-2033. https://www.grandviewresearch.com/industry-analysis/wearable-technology-market</w:t>
      </w:r>
    </w:p>
    <w:p>
      <w:pPr>
        <w:pStyle w:val="SmallText"/>
        <w:spacing w:after="80" w:line="260" w:lineRule="auto"/>
      </w:pPr>
      <w:r>
        <w:t xml:space="preserve">[4] European Food Safety Authority (EFSA): Health claims. https://www.efsa.europa.eu/en/topics/topic/health-claims</w:t>
      </w:r>
    </w:p>
    <w:p>
      <w:pPr>
        <w:pStyle w:val="SmallText"/>
        <w:spacing w:after="80" w:line="260" w:lineRule="auto"/>
      </w:pPr>
      <w:r>
        <w:t xml:space="preserve">[5] NutriMatch Projektstand: lokaler Prototyp mit FastAPI Backend, React Frontend, Supplement-Wissensbasis, Meal Planner, NutriGuide Chatbot und Apple Watch/HeartCast Bridge.</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tabs>
          <w:tab w:val="num" w:pos="720"/>
        </w:tabs>
        <w:ind w:left="720" w:hanging="360"/>
      </w:pPr>
      <w:rPr>
        <w:rFonts w:ascii="Symbol" w:hAnsi="Symbol" w:hint="default"/>
      </w:rPr>
    </w:lvl>
  </w:abstractNum>
  <w:num w:numId="1">
    <w:abstractNumId w:val="1"/>
  </w:num>
  <w:abstractNum w:abstractNumId="2">
    <w:multiLevelType w:val="hybridMultilevel"/>
    <w:lvl w:ilvl="0">
      <w:start w:val="1"/>
      <w:numFmt w:val="decimal"/>
      <w:lvlText w:val="%1."/>
      <w:lvlJc w:val="left"/>
      <w:pPr>
        <w:tabs>
          <w:tab w:val="num" w:pos="720"/>
        </w:tabs>
        <w:ind w:left="720" w:hanging="360"/>
      </w:pPr>
    </w:lvl>
  </w:abstractNum>
  <w:num w:numId="2">
    <w:abstractNumId w:val="2"/>
  </w:num>
</w:numbering>
</file>

<file path=word/styles.xml><?xml version="1.0" encoding="utf-8"?>
<w:styles xmlns:w="http://schemas.openxmlformats.org/wordprocessingml/2006/main">
  <w:docDefaults>
    <w:rPrDefault>
      <w:rPr>
        <w:rFonts w:ascii="Calibri" w:hAnsi="Calibri"/>
        <w:sz w:val="22"/>
        <w:color w:val="222222"/>
      </w:rPr>
    </w:rPrDefault>
    <w:pPrDefault>
      <w:pPr>
        <w:spacing w:after="120" w:line="280" w:lineRule="auto"/>
      </w:pPr>
    </w:pPrDefault>
  </w:docDefaults>
  <w:style w:type="paragraph" w:default="1" w:styleId="Normal">
    <w:name w:val="Normal"/>
    <w:qFormat/>
    <w:pPr>
      <w:spacing w:after="120" w:line="280" w:lineRule="auto"/>
    </w:pPr>
    <w:rPr>
      <w:rFonts w:ascii="Calibri" w:hAnsi="Calibri"/>
      <w:sz w:val="22"/>
    </w:rPr>
  </w:style>
  <w:style w:type="paragraph" w:styleId="Title">
    <w:name w:val="Title"/>
    <w:qFormat/>
    <w:pPr>
      <w:spacing w:after="80"/>
    </w:pPr>
    <w:rPr>
      <w:rFonts w:ascii="Calibri Light" w:hAnsi="Calibri Light"/>
      <w:b/>
      <w:color w:val="1B4332"/>
      <w:sz w:val="52"/>
    </w:rPr>
  </w:style>
  <w:style w:type="paragraph" w:styleId="Subtitle">
    <w:name w:val="Subtitle"/>
    <w:qFormat/>
    <w:pPr>
      <w:spacing w:after="180"/>
    </w:pPr>
    <w:rPr>
      <w:rFonts w:ascii="Calibri" w:hAnsi="Calibri"/>
      <w:color w:val="52796F"/>
      <w:sz w:val="26"/>
    </w:rPr>
  </w:style>
  <w:style w:type="paragraph" w:styleId="Heading1">
    <w:name w:val="heading 1"/>
    <w:basedOn w:val="Normal"/>
    <w:next w:val="BodyText"/>
    <w:qFormat/>
    <w:pPr>
      <w:keepNext/>
      <w:spacing w:before="320" w:after="160"/>
    </w:pPr>
    <w:rPr>
      <w:rFonts w:ascii="Calibri" w:hAnsi="Calibri"/>
      <w:b/>
      <w:color w:val="2D6A4F"/>
      <w:sz w:val="32"/>
    </w:rPr>
  </w:style>
  <w:style w:type="paragraph" w:styleId="Heading2">
    <w:name w:val="heading 2"/>
    <w:basedOn w:val="Normal"/>
    <w:next w:val="BodyText"/>
    <w:qFormat/>
    <w:pPr>
      <w:keepNext/>
      <w:spacing w:before="240" w:after="120"/>
    </w:pPr>
    <w:rPr>
      <w:rFonts w:ascii="Calibri" w:hAnsi="Calibri"/>
      <w:b/>
      <w:color w:val="40916C"/>
      <w:sz w:val="26"/>
    </w:rPr>
  </w:style>
  <w:style w:type="paragraph" w:styleId="Heading3">
    <w:name w:val="heading 3"/>
    <w:basedOn w:val="Normal"/>
    <w:next w:val="BodyText"/>
    <w:qFormat/>
    <w:pPr>
      <w:keepNext/>
      <w:spacing w:before="160" w:after="80"/>
    </w:pPr>
    <w:rPr>
      <w:rFonts w:ascii="Calibri" w:hAnsi="Calibri"/>
      <w:b/>
      <w:color w:val="1F4D3A"/>
      <w:sz w:val="24"/>
    </w:rPr>
  </w:style>
  <w:style w:type="paragraph" w:styleId="BodyText">
    <w:name w:val="Body Text"/>
    <w:basedOn w:val="Normal"/>
    <w:pPr>
      <w:spacing w:after="140" w:line="290" w:lineRule="auto"/>
    </w:pPr>
    <w:rPr>
      <w:rFonts w:ascii="Calibri" w:hAnsi="Calibri"/>
      <w:sz w:val="22"/>
    </w:rPr>
  </w:style>
  <w:style w:type="paragraph" w:styleId="SmallText">
    <w:name w:val="Small Text"/>
    <w:basedOn w:val="Normal"/>
    <w:pPr>
      <w:spacing w:after="80" w:line="260" w:lineRule="auto"/>
    </w:pPr>
    <w:rPr>
      <w:rFonts w:ascii="Calibri" w:hAnsi="Calibri"/>
      <w:color w:val="666666"/>
      <w:sz w:val="18"/>
    </w:rPr>
  </w:style>
  <w:style w:type="paragraph" w:styleId="TableText">
    <w:name w:val="Table Text"/>
    <w:basedOn w:val="Normal"/>
    <w:pPr>
      <w:spacing w:after="60" w:line="260" w:lineRule="auto"/>
    </w:pPr>
    <w:rPr>
      <w:rFonts w:ascii="Calibri" w:hAnsi="Calibri"/>
      <w:sz w:val="19"/>
    </w:rPr>
  </w:style>
  <w:style w:type="table" w:styleId="TableGrid">
    <w:name w:val="Table Grid"/>
    <w:tblPr>
      <w:tblBorders>
        <w:top w:val="single" w:sz="4" w:color="D9E2EC"/>
        <w:left w:val="single" w:sz="4" w:color="D9E2EC"/>
        <w:bottom w:val="single" w:sz="4" w:color="D9E2EC"/>
        <w:right w:val="single" w:sz="4" w:color="D9E2EC"/>
        <w:insideH w:val="single" w:sz="4" w:color="D9E2EC"/>
        <w:insideV w:val="single" w:sz="4" w:color="D9E2EC"/>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