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023360" cy="1091081"/>
            <wp:docPr id="1" name="Picture 1"/>
            <wp:cNvGraphicFramePr>
              <a:graphicFrameLocks noChangeAspect="1"/>
            </wp:cNvGraphicFramePr>
            <a:graphic>
              <a:graphicData uri="http://schemas.openxmlformats.org/drawingml/2006/picture">
                <pic:pic>
                  <pic:nvPicPr>
                    <pic:cNvPr id="0" name="nutrimatch_logo_cropped.png"/>
                    <pic:cNvPicPr/>
                  </pic:nvPicPr>
                  <pic:blipFill>
                    <a:blip r:embed="rId9"/>
                    <a:stretch>
                      <a:fillRect/>
                    </a:stretch>
                  </pic:blipFill>
                  <pic:spPr>
                    <a:xfrm>
                      <a:off x="0" y="0"/>
                      <a:ext cx="4023360" cy="1091081"/>
                    </a:xfrm>
                    <a:prstGeom prst="rect"/>
                  </pic:spPr>
                </pic:pic>
              </a:graphicData>
            </a:graphic>
          </wp:inline>
        </w:drawing>
      </w:r>
    </w:p>
    <w:p>
      <w:pPr>
        <w:pStyle w:val="Title"/>
        <w:jc w:val="center"/>
      </w:pPr>
      <w:r>
        <w:t>NutriMatch Business Paper</w:t>
      </w:r>
    </w:p>
    <w:p>
      <w:pPr>
        <w:jc w:val="center"/>
      </w:pPr>
      <w:r>
        <w:rPr>
          <w:rFonts w:ascii="Aptos Display" w:hAnsi="Aptos Display"/>
          <w:color w:val="2F6B4C"/>
          <w:sz w:val="26"/>
        </w:rPr>
        <w:t>Marktchancen, Produktlogik, Skalierung und Finanzierungsmodell</w:t>
      </w:r>
    </w:p>
    <w:p>
      <w:pPr>
        <w:jc w:val="center"/>
      </w:pPr>
      <w:r>
        <w:rPr>
          <w:color w:val="626B7A"/>
          <w:sz w:val="17"/>
        </w:rPr>
        <w:t>Stand: 29. Juni 2026 | Projektkonzept für Präsentation und Investorengespräch</w:t>
      </w:r>
    </w:p>
    <w:tbl>
      <w:tblPr>
        <w:tblW w:type="auto" w:w="0"/>
        <w:jc w:val="center"/>
        <w:tblLook w:firstColumn="1" w:firstRow="1" w:lastColumn="0" w:lastRow="0" w:noHBand="0" w:noVBand="1" w:val="04A0"/>
        <w:tblBorders>
          <w:top w:val="single" w:sz="6" w:space="0" w:color="B7D7C4"/>
          <w:left w:val="single" w:sz="6" w:space="0" w:color="B7D7C4"/>
          <w:bottom w:val="single" w:sz="6" w:space="0" w:color="B7D7C4"/>
          <w:right w:val="single" w:sz="6" w:space="0" w:color="B7D7C4"/>
          <w:insideH w:val="single" w:sz="6" w:space="0" w:color="B7D7C4"/>
          <w:insideV w:val="single" w:sz="6" w:space="0" w:color="B7D7C4"/>
        </w:tblBorders>
      </w:tblPr>
      <w:tblGrid>
        <w:gridCol w:w="10256"/>
      </w:tblGrid>
      <w:tr>
        <w:tc>
          <w:tcPr>
            <w:tcW w:type="dxa" w:w="10256"/>
            <w:shd w:fill="DDEFE5"/>
          </w:tcPr>
          <w:p>
            <w:r/>
            <w:r>
              <w:rPr>
                <w:rFonts w:ascii="Aptos Display" w:hAnsi="Aptos Display"/>
                <w:b/>
                <w:color w:val="1F513C"/>
                <w:sz w:val="24"/>
              </w:rPr>
              <w:t>Executive Summary</w:t>
            </w:r>
          </w:p>
          <w:p>
            <w:pPr>
              <w:spacing w:after="0"/>
            </w:pPr>
            <w:r>
              <w:rPr>
                <w:rFonts w:ascii="Aptos" w:hAnsi="Aptos"/>
                <w:color w:val="1F2433"/>
                <w:sz w:val="19"/>
              </w:rPr>
              <w:t>NutriMatch ist eine digitale Plattform für personalisierte Nahrungsergänzungs-Empfehlungen. Das Produkt verbindet Nutzerprofil, Ernährungspräferenzen, Gesundheitsziele und Wearable-Daten zu verständlichen, vorsichtigen und wissenschaftlich referenzierten Empfehlungen. Für die Präsentation wird der Apple-Watch/HeartCast-Datenfluss live demonstriert: Der Ruhepuls bzw. die Herzfrequenz wird nicht nur simuliert, sondern als echter Messwert in den NutriMatch-Dashboard-Kontext eingebunden.</w:t>
            </w:r>
          </w:p>
        </w:tc>
      </w:tr>
    </w:tbl>
    <w:p/>
    <w:tbl>
      <w:tblPr>
        <w:tblStyle w:val="TableGrid"/>
        <w:tblW w:type="auto" w:w="0"/>
        <w:jc w:val="center"/>
        <w:tblLook w:firstColumn="1" w:firstRow="1" w:lastColumn="0" w:lastRow="0" w:noHBand="0" w:noVBand="1" w:val="04A0"/>
        <w:tblBorders>
          <w:top w:val="single" w:sz="6" w:space="0" w:color="D9E3DC"/>
          <w:left w:val="single" w:sz="6" w:space="0" w:color="D9E3DC"/>
          <w:bottom w:val="single" w:sz="6" w:space="0" w:color="D9E3DC"/>
          <w:right w:val="single" w:sz="6" w:space="0" w:color="D9E3DC"/>
          <w:insideH w:val="single" w:sz="6" w:space="0" w:color="D9E3DC"/>
          <w:insideV w:val="single" w:sz="6" w:space="0" w:color="D9E3DC"/>
        </w:tblBorders>
      </w:tblPr>
      <w:tblGrid>
        <w:gridCol w:w="5128"/>
        <w:gridCol w:w="5128"/>
      </w:tblGrid>
      <w:tr>
        <w:tc>
          <w:tcPr>
            <w:tcW w:type="dxa" w:w="1928"/>
            <w:vAlign w:val="top"/>
            <w:shd w:fill="1F513C"/>
          </w:tcPr>
          <w:p>
            <w:pPr>
              <w:spacing w:after="40" w:line="252" w:lineRule="auto"/>
              <w:jc w:val="left"/>
            </w:pPr>
            <w:r>
              <w:rPr>
                <w:b/>
                <w:color w:val="FFFFFF"/>
              </w:rPr>
            </w:r>
            <w:r>
              <w:rPr>
                <w:rFonts w:ascii="Aptos" w:hAnsi="Aptos"/>
                <w:b/>
                <w:color w:val="FFFFFF"/>
                <w:sz w:val="16"/>
              </w:rPr>
              <w:t>Bereich</w:t>
            </w:r>
          </w:p>
        </w:tc>
        <w:tc>
          <w:tcPr>
            <w:tcW w:type="dxa" w:w="7030"/>
            <w:vAlign w:val="top"/>
            <w:shd w:fill="1F513C"/>
          </w:tcPr>
          <w:p>
            <w:pPr>
              <w:spacing w:after="40" w:line="252" w:lineRule="auto"/>
              <w:jc w:val="left"/>
            </w:pPr>
            <w:r>
              <w:rPr>
                <w:b/>
                <w:color w:val="FFFFFF"/>
              </w:rPr>
            </w:r>
            <w:r>
              <w:rPr>
                <w:rFonts w:ascii="Aptos" w:hAnsi="Aptos"/>
                <w:b/>
                <w:color w:val="FFFFFF"/>
                <w:sz w:val="16"/>
              </w:rPr>
              <w:t>Kernaussage</w:t>
            </w:r>
          </w:p>
        </w:tc>
      </w:tr>
      <w:tr>
        <w:tc>
          <w:tcPr>
            <w:tcW w:type="dxa" w:w="1928"/>
            <w:vAlign w:val="top"/>
            <w:shd w:fill="FFFFFF"/>
          </w:tcPr>
          <w:p>
            <w:pPr>
              <w:spacing w:after="40" w:line="252" w:lineRule="auto"/>
              <w:jc w:val="left"/>
            </w:pPr>
            <w:r/>
            <w:r>
              <w:rPr>
                <w:rFonts w:ascii="Aptos" w:hAnsi="Aptos"/>
                <w:b w:val="0"/>
                <w:color w:val="1F2433"/>
                <w:sz w:val="17"/>
              </w:rPr>
              <w:t>Markt</w:t>
            </w:r>
          </w:p>
        </w:tc>
        <w:tc>
          <w:tcPr>
            <w:tcW w:type="dxa" w:w="7030"/>
            <w:vAlign w:val="top"/>
            <w:shd w:fill="FFFFFF"/>
          </w:tcPr>
          <w:p>
            <w:pPr>
              <w:spacing w:after="40" w:line="252" w:lineRule="auto"/>
              <w:jc w:val="left"/>
            </w:pPr>
            <w:r/>
            <w:r>
              <w:rPr>
                <w:rFonts w:ascii="Aptos" w:hAnsi="Aptos"/>
                <w:b w:val="0"/>
                <w:color w:val="1F2433"/>
                <w:sz w:val="17"/>
              </w:rPr>
              <w:t>Drei wachsende Felder treffen aufeinander: Supplements, personalisierte Ernährung und Wearables.</w:t>
            </w:r>
          </w:p>
        </w:tc>
      </w:tr>
      <w:tr>
        <w:tc>
          <w:tcPr>
            <w:tcW w:type="dxa" w:w="1928"/>
            <w:vAlign w:val="top"/>
            <w:shd w:fill="F5F8F4"/>
          </w:tcPr>
          <w:p>
            <w:pPr>
              <w:spacing w:after="40" w:line="252" w:lineRule="auto"/>
              <w:jc w:val="left"/>
            </w:pPr>
            <w:r/>
            <w:r>
              <w:rPr>
                <w:rFonts w:ascii="Aptos" w:hAnsi="Aptos"/>
                <w:b w:val="0"/>
                <w:color w:val="1F2433"/>
                <w:sz w:val="17"/>
              </w:rPr>
              <w:t>Problem</w:t>
            </w:r>
          </w:p>
        </w:tc>
        <w:tc>
          <w:tcPr>
            <w:tcW w:type="dxa" w:w="7030"/>
            <w:vAlign w:val="top"/>
            <w:shd w:fill="F5F8F4"/>
          </w:tcPr>
          <w:p>
            <w:pPr>
              <w:spacing w:after="40" w:line="252" w:lineRule="auto"/>
              <w:jc w:val="left"/>
            </w:pPr>
            <w:r/>
            <w:r>
              <w:rPr>
                <w:rFonts w:ascii="Aptos" w:hAnsi="Aptos"/>
                <w:b w:val="0"/>
                <w:color w:val="1F2433"/>
                <w:sz w:val="17"/>
              </w:rPr>
              <w:t>Viele Konsumenten kaufen Ergänzungen ohne klare Priorität, Zeitpunkt, Wechselwirkungen oder langfristige Routine.</w:t>
            </w:r>
          </w:p>
        </w:tc>
      </w:tr>
      <w:tr>
        <w:tc>
          <w:tcPr>
            <w:tcW w:type="dxa" w:w="1928"/>
            <w:vAlign w:val="top"/>
            <w:shd w:fill="FFFFFF"/>
          </w:tcPr>
          <w:p>
            <w:pPr>
              <w:spacing w:after="40" w:line="252" w:lineRule="auto"/>
              <w:jc w:val="left"/>
            </w:pPr>
            <w:r/>
            <w:r>
              <w:rPr>
                <w:rFonts w:ascii="Aptos" w:hAnsi="Aptos"/>
                <w:b w:val="0"/>
                <w:color w:val="1F2433"/>
                <w:sz w:val="17"/>
              </w:rPr>
              <w:t>Lösung</w:t>
            </w:r>
          </w:p>
        </w:tc>
        <w:tc>
          <w:tcPr>
            <w:tcW w:type="dxa" w:w="7030"/>
            <w:vAlign w:val="top"/>
            <w:shd w:fill="FFFFFF"/>
          </w:tcPr>
          <w:p>
            <w:pPr>
              <w:spacing w:after="40" w:line="252" w:lineRule="auto"/>
              <w:jc w:val="left"/>
            </w:pPr>
            <w:r/>
            <w:r>
              <w:rPr>
                <w:rFonts w:ascii="Aptos" w:hAnsi="Aptos"/>
                <w:b w:val="0"/>
                <w:color w:val="1F2433"/>
                <w:sz w:val="17"/>
              </w:rPr>
              <w:t>NutriMatch übersetzt Profil- und Gesundheitsdaten in konkrete, nachvollziehbare Supplement- und Lifestyle-Empfehlungen.</w:t>
            </w:r>
          </w:p>
        </w:tc>
      </w:tr>
      <w:tr>
        <w:tc>
          <w:tcPr>
            <w:tcW w:type="dxa" w:w="1928"/>
            <w:vAlign w:val="top"/>
            <w:shd w:fill="F5F8F4"/>
          </w:tcPr>
          <w:p>
            <w:pPr>
              <w:spacing w:after="40" w:line="252" w:lineRule="auto"/>
              <w:jc w:val="left"/>
            </w:pPr>
            <w:r/>
            <w:r>
              <w:rPr>
                <w:rFonts w:ascii="Aptos" w:hAnsi="Aptos"/>
                <w:b w:val="0"/>
                <w:color w:val="1F2433"/>
                <w:sz w:val="17"/>
              </w:rPr>
              <w:t>USP</w:t>
            </w:r>
          </w:p>
        </w:tc>
        <w:tc>
          <w:tcPr>
            <w:tcW w:type="dxa" w:w="7030"/>
            <w:vAlign w:val="top"/>
            <w:shd w:fill="F5F8F4"/>
          </w:tcPr>
          <w:p>
            <w:pPr>
              <w:spacing w:after="40" w:line="252" w:lineRule="auto"/>
              <w:jc w:val="left"/>
            </w:pPr>
            <w:r/>
            <w:r>
              <w:rPr>
                <w:rFonts w:ascii="Aptos" w:hAnsi="Aptos"/>
                <w:b w:val="0"/>
                <w:color w:val="1F2433"/>
                <w:sz w:val="17"/>
              </w:rPr>
              <w:t>Kombination aus Wearable-Signal, geprüfter Wissensbasis, KI-Chat und Shop-/Abo-Logik in einem steuerbaren System.</w:t>
            </w:r>
          </w:p>
        </w:tc>
      </w:tr>
      <w:tr>
        <w:tc>
          <w:tcPr>
            <w:tcW w:type="dxa" w:w="1928"/>
            <w:vAlign w:val="top"/>
            <w:shd w:fill="FFFFFF"/>
          </w:tcPr>
          <w:p>
            <w:pPr>
              <w:spacing w:after="40" w:line="252" w:lineRule="auto"/>
              <w:jc w:val="left"/>
            </w:pPr>
            <w:r/>
            <w:r>
              <w:rPr>
                <w:rFonts w:ascii="Aptos" w:hAnsi="Aptos"/>
                <w:b w:val="0"/>
                <w:color w:val="1F2433"/>
                <w:sz w:val="17"/>
              </w:rPr>
              <w:t>Finanzierung</w:t>
            </w:r>
          </w:p>
        </w:tc>
        <w:tc>
          <w:tcPr>
            <w:tcW w:type="dxa" w:w="7030"/>
            <w:vAlign w:val="top"/>
            <w:shd w:fill="FFFFFF"/>
          </w:tcPr>
          <w:p>
            <w:pPr>
              <w:spacing w:after="40" w:line="252" w:lineRule="auto"/>
              <w:jc w:val="left"/>
            </w:pPr>
            <w:r/>
            <w:r>
              <w:rPr>
                <w:rFonts w:ascii="Aptos" w:hAnsi="Aptos"/>
                <w:b w:val="0"/>
                <w:color w:val="1F2433"/>
                <w:sz w:val="17"/>
              </w:rPr>
              <w:t>Vorgeschlagen: 250.000 EUR Pre-Seed bei 1,0 Mio. EUR Pre-Money-Bewertung; Abgabe von 20 Prozent.</w:t>
            </w:r>
          </w:p>
        </w:tc>
      </w:tr>
    </w:tbl>
    <w:p>
      <w:r>
        <w:br w:type="page"/>
      </w:r>
    </w:p>
    <w:p>
      <w:pPr>
        <w:pStyle w:val="Heading1"/>
        <w:spacing w:before="160" w:after="60"/>
      </w:pPr>
      <w:r>
        <w:rPr>
          <w:rFonts w:ascii="Aptos Display" w:hAnsi="Aptos Display"/>
          <w:color w:val="1F513C"/>
        </w:rPr>
        <w:t>1. Ausgangslage und Problem</w:t>
      </w:r>
    </w:p>
    <w:p>
      <w:pPr>
        <w:spacing w:after="100" w:line="259" w:lineRule="auto"/>
      </w:pPr>
      <w:r>
        <w:rPr>
          <w:rFonts w:ascii="Aptos" w:hAnsi="Aptos"/>
          <w:color w:val="1F2433"/>
          <w:sz w:val="19"/>
        </w:rPr>
        <w:t>Der Markt für Nahrungsergänzung ist für viele Kundinnen und Kunden schwer zu überblicken. Magnesium, Vitamin D, Omega-3, Kreatin oder Proteinprodukte werden oft auf Basis von Social-Media-Tipps, allgemeinen Versprechen oder spontanen Shop-Empfehlungen gekauft. Was dabei fehlt, ist eine alltagstaugliche Einordnung: Passt das Produkt zum Ziel der Person? Soll es morgens, abends, mit oder ohne Essen eingenommen werden? Gibt es Wechselwirkungen oder Gegenanzeigen? Und verändert sich die Empfehlung, wenn Schlaf, Aktivität oder Pulsdaten auf eine andere Belastung hindeuten?</w:t>
      </w:r>
    </w:p>
    <w:p>
      <w:pPr>
        <w:spacing w:after="100" w:line="259" w:lineRule="auto"/>
      </w:pPr>
      <w:r>
        <w:rPr>
          <w:rFonts w:ascii="Aptos" w:hAnsi="Aptos"/>
          <w:color w:val="1F2433"/>
          <w:sz w:val="19"/>
        </w:rPr>
        <w:t>NutriMatch adressiert genau diese Lücke. Das Produkt ist kein medizinisches Diagnosewerkzeug, sondern ein gesundheitsorientierter Entscheidungsassistent. Es macht Empfehlungen transparenter, vorsichtiger und besser steuerbar. Der Nutzer soll nicht mehr nur ein Produkt sehen, sondern den Grund, den passenden Zeitpunkt und die Priorität der Empfehlung verstehen.</w:t>
      </w:r>
    </w:p>
    <w:p>
      <w:pPr>
        <w:pStyle w:val="Heading1"/>
        <w:spacing w:before="160" w:after="60"/>
      </w:pPr>
      <w:r>
        <w:rPr>
          <w:rFonts w:ascii="Aptos Display" w:hAnsi="Aptos Display"/>
          <w:color w:val="1F513C"/>
        </w:rPr>
        <w:t>2. Marktchancen</w:t>
      </w:r>
    </w:p>
    <w:p>
      <w:pPr>
        <w:spacing w:after="100" w:line="259" w:lineRule="auto"/>
      </w:pPr>
      <w:r>
        <w:rPr>
          <w:rFonts w:ascii="Aptos" w:hAnsi="Aptos"/>
          <w:color w:val="1F2433"/>
          <w:sz w:val="19"/>
        </w:rPr>
        <w:t>Für NutriMatch ist der Markt attraktiv, weil mehrere Wachstumsbewegungen zusammenlaufen. Erstens wächst der europäische Supplement-Markt deutlich. Zweitens steigt die Nachfrage nach personalisierter Ernährung und Wellness-Lösungen. Drittens werden Wearables zunehmend als Datenquelle für Schlaf, Aktivität, Herzfrequenz und Trainingsbelastung akzeptiert.</w:t>
      </w:r>
    </w:p>
    <w:tbl>
      <w:tblPr>
        <w:tblStyle w:val="TableGrid"/>
        <w:tblW w:type="auto" w:w="0"/>
        <w:jc w:val="center"/>
        <w:tblLook w:firstColumn="1" w:firstRow="1" w:lastColumn="0" w:lastRow="0" w:noHBand="0" w:noVBand="1" w:val="04A0"/>
        <w:tblBorders>
          <w:top w:val="single" w:sz="6" w:space="0" w:color="D9E3DC"/>
          <w:left w:val="single" w:sz="6" w:space="0" w:color="D9E3DC"/>
          <w:bottom w:val="single" w:sz="6" w:space="0" w:color="D9E3DC"/>
          <w:right w:val="single" w:sz="6" w:space="0" w:color="D9E3DC"/>
          <w:insideH w:val="single" w:sz="6" w:space="0" w:color="D9E3DC"/>
          <w:insideV w:val="single" w:sz="6" w:space="0" w:color="D9E3DC"/>
        </w:tblBorders>
      </w:tblPr>
      <w:tblGrid>
        <w:gridCol w:w="3419"/>
        <w:gridCol w:w="3419"/>
        <w:gridCol w:w="3419"/>
      </w:tblGrid>
      <w:tr>
        <w:tc>
          <w:tcPr>
            <w:tcW w:type="dxa" w:w="1928"/>
            <w:vAlign w:val="top"/>
            <w:shd w:fill="1F513C"/>
          </w:tcPr>
          <w:p>
            <w:pPr>
              <w:spacing w:after="40" w:line="252" w:lineRule="auto"/>
              <w:jc w:val="left"/>
            </w:pPr>
            <w:r>
              <w:rPr>
                <w:b/>
                <w:color w:val="FFFFFF"/>
              </w:rPr>
            </w:r>
            <w:r>
              <w:rPr>
                <w:rFonts w:ascii="Aptos" w:hAnsi="Aptos"/>
                <w:b/>
                <w:color w:val="FFFFFF"/>
                <w:sz w:val="16"/>
              </w:rPr>
              <w:t>Marktfeld</w:t>
            </w:r>
          </w:p>
        </w:tc>
        <w:tc>
          <w:tcPr>
            <w:tcW w:type="dxa" w:w="5102"/>
            <w:vAlign w:val="top"/>
            <w:shd w:fill="1F513C"/>
          </w:tcPr>
          <w:p>
            <w:pPr>
              <w:spacing w:after="40" w:line="252" w:lineRule="auto"/>
              <w:jc w:val="left"/>
            </w:pPr>
            <w:r>
              <w:rPr>
                <w:b/>
                <w:color w:val="FFFFFF"/>
              </w:rPr>
            </w:r>
            <w:r>
              <w:rPr>
                <w:rFonts w:ascii="Aptos" w:hAnsi="Aptos"/>
                <w:b/>
                <w:color w:val="FFFFFF"/>
                <w:sz w:val="16"/>
              </w:rPr>
              <w:t>Relevanz für NutriMatch</w:t>
            </w:r>
          </w:p>
        </w:tc>
        <w:tc>
          <w:tcPr>
            <w:tcW w:type="dxa" w:w="1928"/>
            <w:vAlign w:val="top"/>
            <w:shd w:fill="1F513C"/>
          </w:tcPr>
          <w:p>
            <w:pPr>
              <w:spacing w:after="40" w:line="252" w:lineRule="auto"/>
              <w:jc w:val="left"/>
            </w:pPr>
            <w:r>
              <w:rPr>
                <w:b/>
                <w:color w:val="FFFFFF"/>
              </w:rPr>
            </w:r>
            <w:r>
              <w:rPr>
                <w:rFonts w:ascii="Aptos" w:hAnsi="Aptos"/>
                <w:b/>
                <w:color w:val="FFFFFF"/>
                <w:sz w:val="16"/>
              </w:rPr>
              <w:t>Quelle</w:t>
            </w:r>
          </w:p>
        </w:tc>
      </w:tr>
      <w:tr>
        <w:tc>
          <w:tcPr>
            <w:tcW w:type="dxa" w:w="1928"/>
            <w:vAlign w:val="top"/>
            <w:shd w:fill="FFFFFF"/>
          </w:tcPr>
          <w:p>
            <w:pPr>
              <w:spacing w:after="40" w:line="252" w:lineRule="auto"/>
              <w:jc w:val="left"/>
            </w:pPr>
            <w:r/>
            <w:r>
              <w:rPr>
                <w:rFonts w:ascii="Aptos" w:hAnsi="Aptos"/>
                <w:b w:val="0"/>
                <w:color w:val="1F2433"/>
                <w:sz w:val="17"/>
              </w:rPr>
              <w:t>Dietary Supplements in Europa</w:t>
            </w:r>
          </w:p>
        </w:tc>
        <w:tc>
          <w:tcPr>
            <w:tcW w:type="dxa" w:w="5102"/>
            <w:vAlign w:val="top"/>
            <w:shd w:fill="FFFFFF"/>
          </w:tcPr>
          <w:p>
            <w:pPr>
              <w:spacing w:after="40" w:line="252" w:lineRule="auto"/>
              <w:jc w:val="left"/>
            </w:pPr>
            <w:r/>
            <w:r>
              <w:rPr>
                <w:rFonts w:ascii="Aptos" w:hAnsi="Aptos"/>
                <w:b w:val="0"/>
                <w:color w:val="1F2433"/>
                <w:sz w:val="17"/>
              </w:rPr>
              <w:t>Europa wird als großer Wachstumsmarkt beschrieben; Schätzungen nennen rund 49,39 Mrd. USD Marktvolumen 2025 und 97,76 Mrd. USD bis 2033.</w:t>
            </w:r>
          </w:p>
        </w:tc>
        <w:tc>
          <w:tcPr>
            <w:tcW w:type="dxa" w:w="1928"/>
            <w:vAlign w:val="top"/>
            <w:shd w:fill="FFFFFF"/>
          </w:tcPr>
          <w:p>
            <w:pPr>
              <w:spacing w:after="40" w:line="252" w:lineRule="auto"/>
              <w:jc w:val="left"/>
            </w:pPr>
            <w:r/>
            <w:r>
              <w:rPr>
                <w:rFonts w:ascii="Aptos" w:hAnsi="Aptos"/>
                <w:b w:val="0"/>
                <w:color w:val="1F2433"/>
                <w:sz w:val="17"/>
              </w:rPr>
              <w:t>Grand View Research [1]</w:t>
            </w:r>
          </w:p>
        </w:tc>
      </w:tr>
      <w:tr>
        <w:tc>
          <w:tcPr>
            <w:tcW w:type="dxa" w:w="1928"/>
            <w:vAlign w:val="top"/>
            <w:shd w:fill="F5F8F4"/>
          </w:tcPr>
          <w:p>
            <w:pPr>
              <w:spacing w:after="40" w:line="252" w:lineRule="auto"/>
              <w:jc w:val="left"/>
            </w:pPr>
            <w:r/>
            <w:r>
              <w:rPr>
                <w:rFonts w:ascii="Aptos" w:hAnsi="Aptos"/>
                <w:b w:val="0"/>
                <w:color w:val="1F2433"/>
                <w:sz w:val="17"/>
              </w:rPr>
              <w:t>Personalisierte Nutrition &amp; Wellness</w:t>
            </w:r>
          </w:p>
        </w:tc>
        <w:tc>
          <w:tcPr>
            <w:tcW w:type="dxa" w:w="5102"/>
            <w:vAlign w:val="top"/>
            <w:shd w:fill="F5F8F4"/>
          </w:tcPr>
          <w:p>
            <w:pPr>
              <w:spacing w:after="40" w:line="252" w:lineRule="auto"/>
              <w:jc w:val="left"/>
            </w:pPr>
            <w:r/>
            <w:r>
              <w:rPr>
                <w:rFonts w:ascii="Aptos" w:hAnsi="Aptos"/>
                <w:b w:val="0"/>
                <w:color w:val="1F2433"/>
                <w:sz w:val="17"/>
              </w:rPr>
              <w:t>Der globale Markt wird mit ca. 3,39 Mrd. USD 2023 und 8,93 Mrd. USD 2030 beschrieben; das unterstützt personalisierte Geschäftsmodelle.</w:t>
            </w:r>
          </w:p>
        </w:tc>
        <w:tc>
          <w:tcPr>
            <w:tcW w:type="dxa" w:w="1928"/>
            <w:vAlign w:val="top"/>
            <w:shd w:fill="F5F8F4"/>
          </w:tcPr>
          <w:p>
            <w:pPr>
              <w:spacing w:after="40" w:line="252" w:lineRule="auto"/>
              <w:jc w:val="left"/>
            </w:pPr>
            <w:r/>
            <w:r>
              <w:rPr>
                <w:rFonts w:ascii="Aptos" w:hAnsi="Aptos"/>
                <w:b w:val="0"/>
                <w:color w:val="1F2433"/>
                <w:sz w:val="17"/>
              </w:rPr>
              <w:t>Grand View Research [2]</w:t>
            </w:r>
          </w:p>
        </w:tc>
      </w:tr>
      <w:tr>
        <w:tc>
          <w:tcPr>
            <w:tcW w:type="dxa" w:w="1928"/>
            <w:vAlign w:val="top"/>
            <w:shd w:fill="FFFFFF"/>
          </w:tcPr>
          <w:p>
            <w:pPr>
              <w:spacing w:after="40" w:line="252" w:lineRule="auto"/>
              <w:jc w:val="left"/>
            </w:pPr>
            <w:r/>
            <w:r>
              <w:rPr>
                <w:rFonts w:ascii="Aptos" w:hAnsi="Aptos"/>
                <w:b w:val="0"/>
                <w:color w:val="1F2433"/>
                <w:sz w:val="17"/>
              </w:rPr>
              <w:t>Wearable Technology</w:t>
            </w:r>
          </w:p>
        </w:tc>
        <w:tc>
          <w:tcPr>
            <w:tcW w:type="dxa" w:w="5102"/>
            <w:vAlign w:val="top"/>
            <w:shd w:fill="FFFFFF"/>
          </w:tcPr>
          <w:p>
            <w:pPr>
              <w:spacing w:after="40" w:line="252" w:lineRule="auto"/>
              <w:jc w:val="left"/>
            </w:pPr>
            <w:r/>
            <w:r>
              <w:rPr>
                <w:rFonts w:ascii="Aptos" w:hAnsi="Aptos"/>
                <w:b w:val="0"/>
                <w:color w:val="1F2433"/>
                <w:sz w:val="17"/>
              </w:rPr>
              <w:t>Wearables messen Herzfrequenz, Schlafqualität, Schritte und weitere Gesundheitsindikatoren; diese Daten erhöhen die Relevanz dynamischer Empfehlungen.</w:t>
            </w:r>
          </w:p>
        </w:tc>
        <w:tc>
          <w:tcPr>
            <w:tcW w:type="dxa" w:w="1928"/>
            <w:vAlign w:val="top"/>
            <w:shd w:fill="FFFFFF"/>
          </w:tcPr>
          <w:p>
            <w:pPr>
              <w:spacing w:after="40" w:line="252" w:lineRule="auto"/>
              <w:jc w:val="left"/>
            </w:pPr>
            <w:r/>
            <w:r>
              <w:rPr>
                <w:rFonts w:ascii="Aptos" w:hAnsi="Aptos"/>
                <w:b w:val="0"/>
                <w:color w:val="1F2433"/>
                <w:sz w:val="17"/>
              </w:rPr>
              <w:t>Grand View Research [3]</w:t>
            </w:r>
          </w:p>
        </w:tc>
      </w:tr>
      <w:tr>
        <w:tc>
          <w:tcPr>
            <w:tcW w:type="dxa" w:w="1928"/>
            <w:vAlign w:val="top"/>
            <w:shd w:fill="F5F8F4"/>
          </w:tcPr>
          <w:p>
            <w:pPr>
              <w:spacing w:after="40" w:line="252" w:lineRule="auto"/>
              <w:jc w:val="left"/>
            </w:pPr>
            <w:r/>
            <w:r>
              <w:rPr>
                <w:rFonts w:ascii="Aptos" w:hAnsi="Aptos"/>
                <w:b w:val="0"/>
                <w:color w:val="1F2433"/>
                <w:sz w:val="17"/>
              </w:rPr>
              <w:t>Regulierung / Health Claims</w:t>
            </w:r>
          </w:p>
        </w:tc>
        <w:tc>
          <w:tcPr>
            <w:tcW w:type="dxa" w:w="5102"/>
            <w:vAlign w:val="top"/>
            <w:shd w:fill="F5F8F4"/>
          </w:tcPr>
          <w:p>
            <w:pPr>
              <w:spacing w:after="40" w:line="252" w:lineRule="auto"/>
              <w:jc w:val="left"/>
            </w:pPr>
            <w:r/>
            <w:r>
              <w:rPr>
                <w:rFonts w:ascii="Aptos" w:hAnsi="Aptos"/>
                <w:b w:val="0"/>
                <w:color w:val="1F2433"/>
                <w:sz w:val="17"/>
              </w:rPr>
              <w:t>Gesundheitsbezogene Aussagen müssen in der EU klar und wissenschaftlich gestützt sein. Eine saubere Wissensbasis ist daher ein Wettbewerbsvorteil.</w:t>
            </w:r>
          </w:p>
        </w:tc>
        <w:tc>
          <w:tcPr>
            <w:tcW w:type="dxa" w:w="1928"/>
            <w:vAlign w:val="top"/>
            <w:shd w:fill="F5F8F4"/>
          </w:tcPr>
          <w:p>
            <w:pPr>
              <w:spacing w:after="40" w:line="252" w:lineRule="auto"/>
              <w:jc w:val="left"/>
            </w:pPr>
            <w:r/>
            <w:r>
              <w:rPr>
                <w:rFonts w:ascii="Aptos" w:hAnsi="Aptos"/>
                <w:b w:val="0"/>
                <w:color w:val="1F2433"/>
                <w:sz w:val="17"/>
              </w:rPr>
              <w:t>EFSA [4]</w:t>
            </w:r>
          </w:p>
        </w:tc>
      </w:tr>
    </w:tbl>
    <w:p>
      <w:pPr>
        <w:spacing w:after="100" w:line="259" w:lineRule="auto"/>
      </w:pPr>
      <w:r>
        <w:rPr>
          <w:rFonts w:ascii="Aptos" w:hAnsi="Aptos"/>
          <w:color w:val="1F2433"/>
          <w:sz w:val="19"/>
        </w:rPr>
        <w:t>Die Marktchance liegt nicht darin, einfach ein weiterer Online-Shop zu sein. NutriMatch positioniert sich als Interface zwischen Daten, Wissen und Kaufentscheidung. Dadurch kann das Produkt im B2C-Geschäft als App mit Abo und Shop funktionieren, gleichzeitig aber auch für Fitnessstudios, Ernährungsberatung, Corporate Health oder Apotheken interessant werden.</w:t>
      </w:r>
    </w:p>
    <w:p>
      <w:pPr>
        <w:pStyle w:val="Heading1"/>
        <w:spacing w:before="160" w:after="60"/>
      </w:pPr>
      <w:r>
        <w:rPr>
          <w:rFonts w:ascii="Aptos Display" w:hAnsi="Aptos Display"/>
          <w:color w:val="1F513C"/>
        </w:rPr>
        <w:t>3. Produktbeschreibung</w:t>
      </w:r>
    </w:p>
    <w:p>
      <w:pPr>
        <w:spacing w:after="100" w:line="259" w:lineRule="auto"/>
      </w:pPr>
      <w:r>
        <w:rPr>
          <w:rFonts w:ascii="Aptos" w:hAnsi="Aptos"/>
          <w:color w:val="1F2433"/>
          <w:sz w:val="19"/>
        </w:rPr>
        <w:t>NutriMatch besteht aus vier Produktbausteinen, die zusammen eine personalisierte Nutzererfahrung erzeugen:</w:t>
      </w:r>
    </w:p>
    <w:p>
      <w:pPr>
        <w:pStyle w:val="ListBullet"/>
        <w:spacing w:after="40"/>
      </w:pPr>
      <w:r>
        <w:rPr>
          <w:rFonts w:ascii="Aptos" w:hAnsi="Aptos"/>
          <w:color w:val="1F2433"/>
          <w:sz w:val="19"/>
        </w:rPr>
        <w:t>Profil und Ziele: Nutzer erfassen Ernährungstyp, Allergien, Ziele, Aktivitätslevel und Präferenzen.</w:t>
      </w:r>
    </w:p>
    <w:p>
      <w:pPr>
        <w:pStyle w:val="ListBullet"/>
        <w:spacing w:after="40"/>
      </w:pPr>
      <w:r>
        <w:rPr>
          <w:rFonts w:ascii="Aptos" w:hAnsi="Aptos"/>
          <w:color w:val="1F2433"/>
          <w:sz w:val="19"/>
        </w:rPr>
        <w:t>Wearable-Dashboard: Schritte, Schlaf, Aktivitätsminuten und Herzfrequenz werden visualisiert. In der aktuellen Demo kann die Herzfrequenz über Apple Watch und HeartCast live eingespeist werden.</w:t>
      </w:r>
    </w:p>
    <w:p>
      <w:pPr>
        <w:pStyle w:val="ListBullet"/>
        <w:spacing w:after="40"/>
      </w:pPr>
      <w:r>
        <w:rPr>
          <w:rFonts w:ascii="Aptos" w:hAnsi="Aptos"/>
          <w:color w:val="1F2433"/>
          <w:sz w:val="19"/>
        </w:rPr>
        <w:t>Supplement-Wissensbasis: Für Substanzen werden Einnahmezeitpunkt, Einnahme mit/ohne Essen, mögliche Wechselwirkungen, Gegenanzeigen und Quellen strukturiert abgelegt.</w:t>
      </w:r>
    </w:p>
    <w:p>
      <w:pPr>
        <w:pStyle w:val="ListBullet"/>
        <w:spacing w:after="40"/>
      </w:pPr>
      <w:r>
        <w:rPr>
          <w:rFonts w:ascii="Aptos" w:hAnsi="Aptos"/>
          <w:color w:val="1F2433"/>
          <w:sz w:val="19"/>
        </w:rPr>
        <w:t>KI-Chat und Empfehlungen: Der Chat beantwortet Fragen im Kontext der Wissensbasis und soll nicht frei medizinisch spekulieren. Die Empfehlungen bleiben erklärbar und vorsichtig formuliert.</w:t>
      </w:r>
    </w:p>
    <w:p>
      <w:pPr>
        <w:spacing w:after="100" w:line="259" w:lineRule="auto"/>
      </w:pPr>
      <w:r>
        <w:rPr>
          <w:rFonts w:ascii="Aptos" w:hAnsi="Aptos"/>
          <w:color w:val="1F2433"/>
          <w:sz w:val="19"/>
        </w:rPr>
        <w:t>Der Demo-Mehrwert für die Präsentation ist stark: Das Publikum sieht nicht nur Mockups, sondern einen echten Datenfluss. Wenn die Uhr eine neue Herzfrequenz liefert, aktualisiert sich das Dashboard. Daraus kann NutriMatch z. B. ableiten, ob Regeneration, Schlaf oder Aktivität aktuell stärker priorisiert werden sollten.</w:t>
      </w:r>
    </w:p>
    <w:p>
      <w:pPr>
        <w:pStyle w:val="Heading1"/>
        <w:spacing w:before="160" w:after="60"/>
      </w:pPr>
      <w:r>
        <w:rPr>
          <w:rFonts w:ascii="Aptos Display" w:hAnsi="Aptos Display"/>
          <w:color w:val="1F513C"/>
        </w:rPr>
        <w:t>4. Unique Selling Point</w:t>
      </w:r>
    </w:p>
    <w:p>
      <w:pPr>
        <w:spacing w:after="100" w:line="259" w:lineRule="auto"/>
      </w:pPr>
      <w:r>
        <w:rPr>
          <w:rFonts w:ascii="Aptos" w:hAnsi="Aptos"/>
          <w:color w:val="1F2433"/>
          <w:sz w:val="19"/>
        </w:rPr>
        <w:t>Der USP von NutriMatch ist die Verbindung aus Personalisierung, Live-Gesundheitsdaten und kontrollierter Empfehlung. Viele bestehende Angebote decken nur einen Teil davon ab: Shops verkaufen Produkte, Apps tracken Daten, Chatbots geben allgemeine Antworten. NutriMatch führt diese Ebenen in einem Produkt zusammen.</w:t>
      </w:r>
    </w:p>
    <w:tbl>
      <w:tblPr>
        <w:tblStyle w:val="TableGrid"/>
        <w:tblW w:type="auto" w:w="0"/>
        <w:jc w:val="center"/>
        <w:tblLook w:firstColumn="1" w:firstRow="1" w:lastColumn="0" w:lastRow="0" w:noHBand="0" w:noVBand="1" w:val="04A0"/>
        <w:tblBorders>
          <w:top w:val="single" w:sz="6" w:space="0" w:color="D9E3DC"/>
          <w:left w:val="single" w:sz="6" w:space="0" w:color="D9E3DC"/>
          <w:bottom w:val="single" w:sz="6" w:space="0" w:color="D9E3DC"/>
          <w:right w:val="single" w:sz="6" w:space="0" w:color="D9E3DC"/>
          <w:insideH w:val="single" w:sz="6" w:space="0" w:color="D9E3DC"/>
          <w:insideV w:val="single" w:sz="6" w:space="0" w:color="D9E3DC"/>
        </w:tblBorders>
      </w:tblPr>
      <w:tblGrid>
        <w:gridCol w:w="5128"/>
        <w:gridCol w:w="5128"/>
      </w:tblGrid>
      <w:tr>
        <w:tc>
          <w:tcPr>
            <w:tcW w:type="dxa" w:w="2324"/>
            <w:vAlign w:val="top"/>
            <w:shd w:fill="1F513C"/>
          </w:tcPr>
          <w:p>
            <w:pPr>
              <w:spacing w:after="40" w:line="252" w:lineRule="auto"/>
              <w:jc w:val="left"/>
            </w:pPr>
            <w:r>
              <w:rPr>
                <w:b/>
                <w:color w:val="FFFFFF"/>
              </w:rPr>
            </w:r>
            <w:r>
              <w:rPr>
                <w:rFonts w:ascii="Aptos" w:hAnsi="Aptos"/>
                <w:b/>
                <w:color w:val="FFFFFF"/>
                <w:sz w:val="16"/>
              </w:rPr>
              <w:t>Dimension</w:t>
            </w:r>
          </w:p>
        </w:tc>
        <w:tc>
          <w:tcPr>
            <w:tcW w:type="dxa" w:w="6633"/>
            <w:vAlign w:val="top"/>
            <w:shd w:fill="1F513C"/>
          </w:tcPr>
          <w:p>
            <w:pPr>
              <w:spacing w:after="40" w:line="252" w:lineRule="auto"/>
              <w:jc w:val="left"/>
            </w:pPr>
            <w:r>
              <w:rPr>
                <w:b/>
                <w:color w:val="FFFFFF"/>
              </w:rPr>
            </w:r>
            <w:r>
              <w:rPr>
                <w:rFonts w:ascii="Aptos" w:hAnsi="Aptos"/>
                <w:b/>
                <w:color w:val="FFFFFF"/>
                <w:sz w:val="16"/>
              </w:rPr>
              <w:t>NutriMatch-Ansatz</w:t>
            </w:r>
          </w:p>
        </w:tc>
      </w:tr>
      <w:tr>
        <w:tc>
          <w:tcPr>
            <w:tcW w:type="dxa" w:w="2324"/>
            <w:vAlign w:val="top"/>
            <w:shd w:fill="FFFFFF"/>
          </w:tcPr>
          <w:p>
            <w:pPr>
              <w:spacing w:after="40" w:line="252" w:lineRule="auto"/>
              <w:jc w:val="left"/>
            </w:pPr>
            <w:r/>
            <w:r>
              <w:rPr>
                <w:rFonts w:ascii="Aptos" w:hAnsi="Aptos"/>
                <w:b w:val="0"/>
                <w:color w:val="1F2433"/>
                <w:sz w:val="17"/>
              </w:rPr>
              <w:t>Datenbezug</w:t>
            </w:r>
          </w:p>
        </w:tc>
        <w:tc>
          <w:tcPr>
            <w:tcW w:type="dxa" w:w="6633"/>
            <w:vAlign w:val="top"/>
            <w:shd w:fill="FFFFFF"/>
          </w:tcPr>
          <w:p>
            <w:pPr>
              <w:spacing w:after="40" w:line="252" w:lineRule="auto"/>
              <w:jc w:val="left"/>
            </w:pPr>
            <w:r/>
            <w:r>
              <w:rPr>
                <w:rFonts w:ascii="Aptos" w:hAnsi="Aptos"/>
                <w:b w:val="0"/>
                <w:color w:val="1F2433"/>
                <w:sz w:val="17"/>
              </w:rPr>
              <w:t>Empfehlungen können aktuelle Wearable-Signale berücksichtigen, z. B. Puls, Schlaf und Aktivitätsverlauf.</w:t>
            </w:r>
          </w:p>
        </w:tc>
      </w:tr>
      <w:tr>
        <w:tc>
          <w:tcPr>
            <w:tcW w:type="dxa" w:w="2324"/>
            <w:vAlign w:val="top"/>
            <w:shd w:fill="F5F8F4"/>
          </w:tcPr>
          <w:p>
            <w:pPr>
              <w:spacing w:after="40" w:line="252" w:lineRule="auto"/>
              <w:jc w:val="left"/>
            </w:pPr>
            <w:r/>
            <w:r>
              <w:rPr>
                <w:rFonts w:ascii="Aptos" w:hAnsi="Aptos"/>
                <w:b w:val="0"/>
                <w:color w:val="1F2433"/>
                <w:sz w:val="17"/>
              </w:rPr>
              <w:t>Erklärbarkeit</w:t>
            </w:r>
          </w:p>
        </w:tc>
        <w:tc>
          <w:tcPr>
            <w:tcW w:type="dxa" w:w="6633"/>
            <w:vAlign w:val="top"/>
            <w:shd w:fill="F5F8F4"/>
          </w:tcPr>
          <w:p>
            <w:pPr>
              <w:spacing w:after="40" w:line="252" w:lineRule="auto"/>
              <w:jc w:val="left"/>
            </w:pPr>
            <w:r/>
            <w:r>
              <w:rPr>
                <w:rFonts w:ascii="Aptos" w:hAnsi="Aptos"/>
                <w:b w:val="0"/>
                <w:color w:val="1F2433"/>
                <w:sz w:val="17"/>
              </w:rPr>
              <w:t>Nutzer sehen nicht nur eine Empfehlung, sondern auch Grund, Timing und relevante Warnhinweise.</w:t>
            </w:r>
          </w:p>
        </w:tc>
      </w:tr>
      <w:tr>
        <w:tc>
          <w:tcPr>
            <w:tcW w:type="dxa" w:w="2324"/>
            <w:vAlign w:val="top"/>
            <w:shd w:fill="FFFFFF"/>
          </w:tcPr>
          <w:p>
            <w:pPr>
              <w:spacing w:after="40" w:line="252" w:lineRule="auto"/>
              <w:jc w:val="left"/>
            </w:pPr>
            <w:r/>
            <w:r>
              <w:rPr>
                <w:rFonts w:ascii="Aptos" w:hAnsi="Aptos"/>
                <w:b w:val="0"/>
                <w:color w:val="1F2433"/>
                <w:sz w:val="17"/>
              </w:rPr>
              <w:t>Sicherheit</w:t>
            </w:r>
          </w:p>
        </w:tc>
        <w:tc>
          <w:tcPr>
            <w:tcW w:type="dxa" w:w="6633"/>
            <w:vAlign w:val="top"/>
            <w:shd w:fill="FFFFFF"/>
          </w:tcPr>
          <w:p>
            <w:pPr>
              <w:spacing w:after="40" w:line="252" w:lineRule="auto"/>
              <w:jc w:val="left"/>
            </w:pPr>
            <w:r/>
            <w:r>
              <w:rPr>
                <w:rFonts w:ascii="Aptos" w:hAnsi="Aptos"/>
                <w:b w:val="0"/>
                <w:color w:val="1F2433"/>
                <w:sz w:val="17"/>
              </w:rPr>
              <w:t>Supplement-Antworten sollen aus einer geprüften Wissensbasis kommen; riskante medizinische Aussagen werden vermieden.</w:t>
            </w:r>
          </w:p>
        </w:tc>
      </w:tr>
      <w:tr>
        <w:tc>
          <w:tcPr>
            <w:tcW w:type="dxa" w:w="2324"/>
            <w:vAlign w:val="top"/>
            <w:shd w:fill="F5F8F4"/>
          </w:tcPr>
          <w:p>
            <w:pPr>
              <w:spacing w:after="40" w:line="252" w:lineRule="auto"/>
              <w:jc w:val="left"/>
            </w:pPr>
            <w:r/>
            <w:r>
              <w:rPr>
                <w:rFonts w:ascii="Aptos" w:hAnsi="Aptos"/>
                <w:b w:val="0"/>
                <w:color w:val="1F2433"/>
                <w:sz w:val="17"/>
              </w:rPr>
              <w:t>Kaufnähe</w:t>
            </w:r>
          </w:p>
        </w:tc>
        <w:tc>
          <w:tcPr>
            <w:tcW w:type="dxa" w:w="6633"/>
            <w:vAlign w:val="top"/>
            <w:shd w:fill="F5F8F4"/>
          </w:tcPr>
          <w:p>
            <w:pPr>
              <w:spacing w:after="40" w:line="252" w:lineRule="auto"/>
              <w:jc w:val="left"/>
            </w:pPr>
            <w:r/>
            <w:r>
              <w:rPr>
                <w:rFonts w:ascii="Aptos" w:hAnsi="Aptos"/>
                <w:b w:val="0"/>
                <w:color w:val="1F2433"/>
                <w:sz w:val="17"/>
              </w:rPr>
              <w:t>Aus einer Empfehlung kann ein Warenkorb oder Abo entstehen, ohne dass der Nutzer selbst recherchieren muss.</w:t>
            </w:r>
          </w:p>
        </w:tc>
      </w:tr>
      <w:tr>
        <w:tc>
          <w:tcPr>
            <w:tcW w:type="dxa" w:w="2324"/>
            <w:vAlign w:val="top"/>
            <w:shd w:fill="FFFFFF"/>
          </w:tcPr>
          <w:p>
            <w:pPr>
              <w:spacing w:after="40" w:line="252" w:lineRule="auto"/>
              <w:jc w:val="left"/>
            </w:pPr>
            <w:r/>
            <w:r>
              <w:rPr>
                <w:rFonts w:ascii="Aptos" w:hAnsi="Aptos"/>
                <w:b w:val="0"/>
                <w:color w:val="1F2433"/>
                <w:sz w:val="17"/>
              </w:rPr>
              <w:t>Demo-Fähigkeit</w:t>
            </w:r>
          </w:p>
        </w:tc>
        <w:tc>
          <w:tcPr>
            <w:tcW w:type="dxa" w:w="6633"/>
            <w:vAlign w:val="top"/>
            <w:shd w:fill="FFFFFF"/>
          </w:tcPr>
          <w:p>
            <w:pPr>
              <w:spacing w:after="40" w:line="252" w:lineRule="auto"/>
              <w:jc w:val="left"/>
            </w:pPr>
            <w:r/>
            <w:r>
              <w:rPr>
                <w:rFonts w:ascii="Aptos" w:hAnsi="Aptos"/>
                <w:b w:val="0"/>
                <w:color w:val="1F2433"/>
                <w:sz w:val="17"/>
              </w:rPr>
              <w:t>Live-Herzfrequenz aus der Apple Watch macht den Produktnutzen greifbar und emotional verständlich.</w:t>
            </w:r>
          </w:p>
        </w:tc>
      </w:tr>
    </w:tbl>
    <w:p>
      <w:r>
        <w:br w:type="page"/>
      </w:r>
    </w:p>
    <w:p>
      <w:pPr>
        <w:pStyle w:val="Heading1"/>
        <w:spacing w:before="160" w:after="60"/>
      </w:pPr>
      <w:r>
        <w:rPr>
          <w:rFonts w:ascii="Aptos Display" w:hAnsi="Aptos Display"/>
          <w:color w:val="1F513C"/>
        </w:rPr>
        <w:t>5. Verkaufsmodell und Go-to-Market</w:t>
      </w:r>
    </w:p>
    <w:p>
      <w:pPr>
        <w:spacing w:after="100" w:line="259" w:lineRule="auto"/>
      </w:pPr>
      <w:r>
        <w:rPr>
          <w:rFonts w:ascii="Aptos" w:hAnsi="Aptos"/>
          <w:color w:val="1F2433"/>
          <w:sz w:val="19"/>
        </w:rPr>
        <w:t>NutriMatch kann in mehreren Stufen monetarisiert werden. Für die erste Phase ist ein fokussiertes Modell sinnvoll: kostenlose Basisfunktionen erzeugen Vertrauen, Premium-Funktionen und Produktvermittlung erzeugen Umsatz. So bleibt das Produkt niedrigschwellig, aber wirtschaftlich skalierbar.</w:t>
      </w:r>
    </w:p>
    <w:tbl>
      <w:tblPr>
        <w:tblStyle w:val="TableGrid"/>
        <w:tblW w:type="auto" w:w="0"/>
        <w:jc w:val="center"/>
        <w:tblLook w:firstColumn="1" w:firstRow="1" w:lastColumn="0" w:lastRow="0" w:noHBand="0" w:noVBand="1" w:val="04A0"/>
        <w:tblBorders>
          <w:top w:val="single" w:sz="6" w:space="0" w:color="D9E3DC"/>
          <w:left w:val="single" w:sz="6" w:space="0" w:color="D9E3DC"/>
          <w:bottom w:val="single" w:sz="6" w:space="0" w:color="D9E3DC"/>
          <w:right w:val="single" w:sz="6" w:space="0" w:color="D9E3DC"/>
          <w:insideH w:val="single" w:sz="6" w:space="0" w:color="D9E3DC"/>
          <w:insideV w:val="single" w:sz="6" w:space="0" w:color="D9E3DC"/>
        </w:tblBorders>
      </w:tblPr>
      <w:tblGrid>
        <w:gridCol w:w="3419"/>
        <w:gridCol w:w="3419"/>
        <w:gridCol w:w="3419"/>
      </w:tblGrid>
      <w:tr>
        <w:tc>
          <w:tcPr>
            <w:tcW w:type="dxa" w:w="1871"/>
            <w:vAlign w:val="top"/>
            <w:shd w:fill="1F513C"/>
          </w:tcPr>
          <w:p>
            <w:pPr>
              <w:spacing w:after="40" w:line="252" w:lineRule="auto"/>
              <w:jc w:val="left"/>
            </w:pPr>
            <w:r>
              <w:rPr>
                <w:b/>
                <w:color w:val="FFFFFF"/>
              </w:rPr>
            </w:r>
            <w:r>
              <w:rPr>
                <w:rFonts w:ascii="Aptos" w:hAnsi="Aptos"/>
                <w:b/>
                <w:color w:val="FFFFFF"/>
                <w:sz w:val="16"/>
              </w:rPr>
              <w:t>Erlösquelle</w:t>
            </w:r>
          </w:p>
        </w:tc>
        <w:tc>
          <w:tcPr>
            <w:tcW w:type="dxa" w:w="4139"/>
            <w:vAlign w:val="top"/>
            <w:shd w:fill="1F513C"/>
          </w:tcPr>
          <w:p>
            <w:pPr>
              <w:spacing w:after="40" w:line="252" w:lineRule="auto"/>
              <w:jc w:val="left"/>
            </w:pPr>
            <w:r>
              <w:rPr>
                <w:b/>
                <w:color w:val="FFFFFF"/>
              </w:rPr>
            </w:r>
            <w:r>
              <w:rPr>
                <w:rFonts w:ascii="Aptos" w:hAnsi="Aptos"/>
                <w:b/>
                <w:color w:val="FFFFFF"/>
                <w:sz w:val="16"/>
              </w:rPr>
              <w:t>Beschreibung</w:t>
            </w:r>
          </w:p>
        </w:tc>
        <w:tc>
          <w:tcPr>
            <w:tcW w:type="dxa" w:w="2835"/>
            <w:vAlign w:val="top"/>
            <w:shd w:fill="1F513C"/>
          </w:tcPr>
          <w:p>
            <w:pPr>
              <w:spacing w:after="40" w:line="252" w:lineRule="auto"/>
              <w:jc w:val="left"/>
            </w:pPr>
            <w:r>
              <w:rPr>
                <w:b/>
                <w:color w:val="FFFFFF"/>
              </w:rPr>
            </w:r>
            <w:r>
              <w:rPr>
                <w:rFonts w:ascii="Aptos" w:hAnsi="Aptos"/>
                <w:b/>
                <w:color w:val="FFFFFF"/>
                <w:sz w:val="16"/>
              </w:rPr>
              <w:t>Warum steuerbar?</w:t>
            </w:r>
          </w:p>
        </w:tc>
      </w:tr>
      <w:tr>
        <w:tc>
          <w:tcPr>
            <w:tcW w:type="dxa" w:w="1871"/>
            <w:vAlign w:val="top"/>
            <w:shd w:fill="FFFFFF"/>
          </w:tcPr>
          <w:p>
            <w:pPr>
              <w:spacing w:after="40" w:line="252" w:lineRule="auto"/>
              <w:jc w:val="left"/>
            </w:pPr>
            <w:r/>
            <w:r>
              <w:rPr>
                <w:rFonts w:ascii="Aptos" w:hAnsi="Aptos"/>
                <w:b w:val="0"/>
                <w:color w:val="1F2433"/>
                <w:sz w:val="17"/>
              </w:rPr>
              <w:t>Freemium-App</w:t>
            </w:r>
          </w:p>
        </w:tc>
        <w:tc>
          <w:tcPr>
            <w:tcW w:type="dxa" w:w="4139"/>
            <w:vAlign w:val="top"/>
            <w:shd w:fill="FFFFFF"/>
          </w:tcPr>
          <w:p>
            <w:pPr>
              <w:spacing w:after="40" w:line="252" w:lineRule="auto"/>
              <w:jc w:val="left"/>
            </w:pPr>
            <w:r/>
            <w:r>
              <w:rPr>
                <w:rFonts w:ascii="Aptos" w:hAnsi="Aptos"/>
                <w:b w:val="0"/>
                <w:color w:val="1F2433"/>
                <w:sz w:val="17"/>
              </w:rPr>
              <w:t>Kostenloses Dashboard, Basisprofil und einfache Empfehlungen.</w:t>
            </w:r>
          </w:p>
        </w:tc>
        <w:tc>
          <w:tcPr>
            <w:tcW w:type="dxa" w:w="2835"/>
            <w:vAlign w:val="top"/>
            <w:shd w:fill="FFFFFF"/>
          </w:tcPr>
          <w:p>
            <w:pPr>
              <w:spacing w:after="40" w:line="252" w:lineRule="auto"/>
              <w:jc w:val="left"/>
            </w:pPr>
            <w:r/>
            <w:r>
              <w:rPr>
                <w:rFonts w:ascii="Aptos" w:hAnsi="Aptos"/>
                <w:b w:val="0"/>
                <w:color w:val="1F2433"/>
                <w:sz w:val="17"/>
              </w:rPr>
              <w:t>Schneller Markteintritt, niedrige Einstiegshürde.</w:t>
            </w:r>
          </w:p>
        </w:tc>
      </w:tr>
      <w:tr>
        <w:tc>
          <w:tcPr>
            <w:tcW w:type="dxa" w:w="1871"/>
            <w:vAlign w:val="top"/>
            <w:shd w:fill="F5F8F4"/>
          </w:tcPr>
          <w:p>
            <w:pPr>
              <w:spacing w:after="40" w:line="252" w:lineRule="auto"/>
              <w:jc w:val="left"/>
            </w:pPr>
            <w:r/>
            <w:r>
              <w:rPr>
                <w:rFonts w:ascii="Aptos" w:hAnsi="Aptos"/>
                <w:b w:val="0"/>
                <w:color w:val="1F2433"/>
                <w:sz w:val="17"/>
              </w:rPr>
              <w:t>Premium-Abo</w:t>
            </w:r>
          </w:p>
        </w:tc>
        <w:tc>
          <w:tcPr>
            <w:tcW w:type="dxa" w:w="4139"/>
            <w:vAlign w:val="top"/>
            <w:shd w:fill="F5F8F4"/>
          </w:tcPr>
          <w:p>
            <w:pPr>
              <w:spacing w:after="40" w:line="252" w:lineRule="auto"/>
              <w:jc w:val="left"/>
            </w:pPr>
            <w:r/>
            <w:r>
              <w:rPr>
                <w:rFonts w:ascii="Aptos" w:hAnsi="Aptos"/>
                <w:b w:val="0"/>
                <w:color w:val="1F2433"/>
                <w:sz w:val="17"/>
              </w:rPr>
              <w:t>Personalisierte Pläne, detaillierte Analysen, Chat-Verlauf und Wearable-Auswertung.</w:t>
            </w:r>
          </w:p>
        </w:tc>
        <w:tc>
          <w:tcPr>
            <w:tcW w:type="dxa" w:w="2835"/>
            <w:vAlign w:val="top"/>
            <w:shd w:fill="F5F8F4"/>
          </w:tcPr>
          <w:p>
            <w:pPr>
              <w:spacing w:after="40" w:line="252" w:lineRule="auto"/>
              <w:jc w:val="left"/>
            </w:pPr>
            <w:r/>
            <w:r>
              <w:rPr>
                <w:rFonts w:ascii="Aptos" w:hAnsi="Aptos"/>
                <w:b w:val="0"/>
                <w:color w:val="1F2433"/>
                <w:sz w:val="17"/>
              </w:rPr>
              <w:t>Planbare wiederkehrende Umsätze.</w:t>
            </w:r>
          </w:p>
        </w:tc>
      </w:tr>
      <w:tr>
        <w:tc>
          <w:tcPr>
            <w:tcW w:type="dxa" w:w="1871"/>
            <w:vAlign w:val="top"/>
            <w:shd w:fill="FFFFFF"/>
          </w:tcPr>
          <w:p>
            <w:pPr>
              <w:spacing w:after="40" w:line="252" w:lineRule="auto"/>
              <w:jc w:val="left"/>
            </w:pPr>
            <w:r/>
            <w:r>
              <w:rPr>
                <w:rFonts w:ascii="Aptos" w:hAnsi="Aptos"/>
                <w:b w:val="0"/>
                <w:color w:val="1F2433"/>
                <w:sz w:val="17"/>
              </w:rPr>
              <w:t>Affiliate / Shop-Provision</w:t>
            </w:r>
          </w:p>
        </w:tc>
        <w:tc>
          <w:tcPr>
            <w:tcW w:type="dxa" w:w="4139"/>
            <w:vAlign w:val="top"/>
            <w:shd w:fill="FFFFFF"/>
          </w:tcPr>
          <w:p>
            <w:pPr>
              <w:spacing w:after="40" w:line="252" w:lineRule="auto"/>
              <w:jc w:val="left"/>
            </w:pPr>
            <w:r/>
            <w:r>
              <w:rPr>
                <w:rFonts w:ascii="Aptos" w:hAnsi="Aptos"/>
                <w:b w:val="0"/>
                <w:color w:val="1F2433"/>
                <w:sz w:val="17"/>
              </w:rPr>
              <w:t>Weiterleitung oder Verkauf passender Supplements mit transparenter Kennzeichnung.</w:t>
            </w:r>
          </w:p>
        </w:tc>
        <w:tc>
          <w:tcPr>
            <w:tcW w:type="dxa" w:w="2835"/>
            <w:vAlign w:val="top"/>
            <w:shd w:fill="FFFFFF"/>
          </w:tcPr>
          <w:p>
            <w:pPr>
              <w:spacing w:after="40" w:line="252" w:lineRule="auto"/>
              <w:jc w:val="left"/>
            </w:pPr>
            <w:r/>
            <w:r>
              <w:rPr>
                <w:rFonts w:ascii="Aptos" w:hAnsi="Aptos"/>
                <w:b w:val="0"/>
                <w:color w:val="1F2433"/>
                <w:sz w:val="17"/>
              </w:rPr>
              <w:t>Umsatz pro Empfehlung messbar.</w:t>
            </w:r>
          </w:p>
        </w:tc>
      </w:tr>
      <w:tr>
        <w:tc>
          <w:tcPr>
            <w:tcW w:type="dxa" w:w="1871"/>
            <w:vAlign w:val="top"/>
            <w:shd w:fill="F5F8F4"/>
          </w:tcPr>
          <w:p>
            <w:pPr>
              <w:spacing w:after="40" w:line="252" w:lineRule="auto"/>
              <w:jc w:val="left"/>
            </w:pPr>
            <w:r/>
            <w:r>
              <w:rPr>
                <w:rFonts w:ascii="Aptos" w:hAnsi="Aptos"/>
                <w:b w:val="0"/>
                <w:color w:val="1F2433"/>
                <w:sz w:val="17"/>
              </w:rPr>
              <w:t>B2B-Pakete</w:t>
            </w:r>
          </w:p>
        </w:tc>
        <w:tc>
          <w:tcPr>
            <w:tcW w:type="dxa" w:w="4139"/>
            <w:vAlign w:val="top"/>
            <w:shd w:fill="F5F8F4"/>
          </w:tcPr>
          <w:p>
            <w:pPr>
              <w:spacing w:after="40" w:line="252" w:lineRule="auto"/>
              <w:jc w:val="left"/>
            </w:pPr>
            <w:r/>
            <w:r>
              <w:rPr>
                <w:rFonts w:ascii="Aptos" w:hAnsi="Aptos"/>
                <w:b w:val="0"/>
                <w:color w:val="1F2433"/>
                <w:sz w:val="17"/>
              </w:rPr>
              <w:t>Fitnessstudios, Ernährungsberater, Apotheken oder Corporate-Health-Programme.</w:t>
            </w:r>
          </w:p>
        </w:tc>
        <w:tc>
          <w:tcPr>
            <w:tcW w:type="dxa" w:w="2835"/>
            <w:vAlign w:val="top"/>
            <w:shd w:fill="F5F8F4"/>
          </w:tcPr>
          <w:p>
            <w:pPr>
              <w:spacing w:after="40" w:line="252" w:lineRule="auto"/>
              <w:jc w:val="left"/>
            </w:pPr>
            <w:r/>
            <w:r>
              <w:rPr>
                <w:rFonts w:ascii="Aptos" w:hAnsi="Aptos"/>
                <w:b w:val="0"/>
                <w:color w:val="1F2433"/>
                <w:sz w:val="17"/>
              </w:rPr>
              <w:t>Höhere Ticketgrößen und klarere Kundengruppen.</w:t>
            </w:r>
          </w:p>
        </w:tc>
      </w:tr>
      <w:tr>
        <w:tc>
          <w:tcPr>
            <w:tcW w:type="dxa" w:w="1871"/>
            <w:vAlign w:val="top"/>
            <w:shd w:fill="FFFFFF"/>
          </w:tcPr>
          <w:p>
            <w:pPr>
              <w:spacing w:after="40" w:line="252" w:lineRule="auto"/>
              <w:jc w:val="left"/>
            </w:pPr>
            <w:r/>
            <w:r>
              <w:rPr>
                <w:rFonts w:ascii="Aptos" w:hAnsi="Aptos"/>
                <w:b w:val="0"/>
                <w:color w:val="1F2433"/>
                <w:sz w:val="17"/>
              </w:rPr>
              <w:t>White-Label später</w:t>
            </w:r>
          </w:p>
        </w:tc>
        <w:tc>
          <w:tcPr>
            <w:tcW w:type="dxa" w:w="4139"/>
            <w:vAlign w:val="top"/>
            <w:shd w:fill="FFFFFF"/>
          </w:tcPr>
          <w:p>
            <w:pPr>
              <w:spacing w:after="40" w:line="252" w:lineRule="auto"/>
              <w:jc w:val="left"/>
            </w:pPr>
            <w:r/>
            <w:r>
              <w:rPr>
                <w:rFonts w:ascii="Aptos" w:hAnsi="Aptos"/>
                <w:b w:val="0"/>
                <w:color w:val="1F2433"/>
                <w:sz w:val="17"/>
              </w:rPr>
              <w:t>Lizenzierung der Empfehlungslogik für Partner.</w:t>
            </w:r>
          </w:p>
        </w:tc>
        <w:tc>
          <w:tcPr>
            <w:tcW w:type="dxa" w:w="2835"/>
            <w:vAlign w:val="top"/>
            <w:shd w:fill="FFFFFF"/>
          </w:tcPr>
          <w:p>
            <w:pPr>
              <w:spacing w:after="40" w:line="252" w:lineRule="auto"/>
              <w:jc w:val="left"/>
            </w:pPr>
            <w:r/>
            <w:r>
              <w:rPr>
                <w:rFonts w:ascii="Aptos" w:hAnsi="Aptos"/>
                <w:b w:val="0"/>
                <w:color w:val="1F2433"/>
                <w:sz w:val="17"/>
              </w:rPr>
              <w:t>Skalierbar, wenn Daten- und Compliance-Struktur stabil ist.</w:t>
            </w:r>
          </w:p>
        </w:tc>
      </w:tr>
    </w:tbl>
    <w:p>
      <w:pPr>
        <w:spacing w:after="100" w:line="259" w:lineRule="auto"/>
      </w:pPr>
      <w:r>
        <w:rPr>
          <w:rFonts w:ascii="Aptos" w:hAnsi="Aptos"/>
          <w:color w:val="1F2433"/>
          <w:sz w:val="19"/>
        </w:rPr>
        <w:t>Der Start sollte nicht mit einem breiten Massenmarketing erfolgen, sondern über Pilotgruppen: Studierende, Fitness-affine Nutzer, kleine Fitnessstudios und Ernährungscoaches. Diese Gruppen verstehen den Nutzen schnell, liefern Feedback und helfen, die Empfehlungssprache zu verbessern.</w:t>
      </w:r>
    </w:p>
    <w:p>
      <w:pPr>
        <w:pStyle w:val="Heading1"/>
        <w:spacing w:before="160" w:after="60"/>
      </w:pPr>
      <w:r>
        <w:rPr>
          <w:rFonts w:ascii="Aptos Display" w:hAnsi="Aptos Display"/>
          <w:color w:val="1F513C"/>
        </w:rPr>
        <w:t>6. Skalierbarkeit und operative Steuerbarkeit</w:t>
      </w:r>
    </w:p>
    <w:p>
      <w:pPr>
        <w:spacing w:after="100" w:line="259" w:lineRule="auto"/>
      </w:pPr>
      <w:r>
        <w:rPr>
          <w:rFonts w:ascii="Aptos" w:hAnsi="Aptos"/>
          <w:color w:val="1F2433"/>
          <w:sz w:val="19"/>
        </w:rPr>
        <w:t>Skalierbarkeit ist vorhanden, weil das Kernprodukt softwarebasiert ist. Die teuersten Bestandteile sind Entwicklung, Datenqualität, Compliance und Nutzerakquise, nicht physische Infrastruktur. Gleichzeitig muss das Produkt kontrollierbar bleiben, weil Gesundheitsthemen sensibel sind.</w:t>
      </w:r>
    </w:p>
    <w:p>
      <w:pPr>
        <w:pStyle w:val="ListBullet"/>
        <w:spacing w:after="40"/>
      </w:pPr>
      <w:r>
        <w:rPr>
          <w:rFonts w:ascii="Aptos" w:hAnsi="Aptos"/>
          <w:color w:val="1F2433"/>
          <w:sz w:val="19"/>
        </w:rPr>
        <w:t>Technische Skalierung: Backend, Frontend, Datenbank und KI-Service können schrittweise von Demo-Architektur auf Cloud-Infrastruktur migriert werden.</w:t>
      </w:r>
    </w:p>
    <w:p>
      <w:pPr>
        <w:pStyle w:val="ListBullet"/>
        <w:spacing w:after="40"/>
      </w:pPr>
      <w:r>
        <w:rPr>
          <w:rFonts w:ascii="Aptos" w:hAnsi="Aptos"/>
          <w:color w:val="1F2433"/>
          <w:sz w:val="19"/>
        </w:rPr>
        <w:t>Inhaltliche Skalierung: Die Supplement-Wissensbasis kann Stoff für Stoff erweitert werden, statt von Anfang an den gesamten Markt abzudecken.</w:t>
      </w:r>
    </w:p>
    <w:p>
      <w:pPr>
        <w:pStyle w:val="ListBullet"/>
        <w:spacing w:after="40"/>
      </w:pPr>
      <w:r>
        <w:rPr>
          <w:rFonts w:ascii="Aptos" w:hAnsi="Aptos"/>
          <w:color w:val="1F2433"/>
          <w:sz w:val="19"/>
        </w:rPr>
        <w:t>Regulatorische Steuerung: NutriMatch sollte keine Diagnosen stellen und Health Claims nur dort nutzen, wo sie sauber belegt und zulässig sind.</w:t>
      </w:r>
    </w:p>
    <w:p>
      <w:pPr>
        <w:pStyle w:val="ListBullet"/>
        <w:spacing w:after="40"/>
      </w:pPr>
      <w:r>
        <w:rPr>
          <w:rFonts w:ascii="Aptos" w:hAnsi="Aptos"/>
          <w:color w:val="1F2433"/>
          <w:sz w:val="19"/>
        </w:rPr>
        <w:t>Datensteuerung: Wearable-Daten sollten nur mit Einwilligung genutzt werden; Nutzer brauchen klare Kontrolle über Verbindung und Löschung.</w:t>
      </w:r>
    </w:p>
    <w:p>
      <w:pPr>
        <w:pStyle w:val="ListBullet"/>
        <w:spacing w:after="40"/>
      </w:pPr>
      <w:r>
        <w:rPr>
          <w:rFonts w:ascii="Aptos" w:hAnsi="Aptos"/>
          <w:color w:val="1F2433"/>
          <w:sz w:val="19"/>
        </w:rPr>
        <w:t>Kommerzielle Skalierung: Abo, Affiliate, B2B und White-Label lassen sich nacheinander testen, ohne das Produkt sofort zu überfrachten.</w:t>
      </w:r>
    </w:p>
    <w:p>
      <w:pPr>
        <w:pStyle w:val="Heading1"/>
        <w:spacing w:before="160" w:after="60"/>
      </w:pPr>
      <w:r>
        <w:rPr>
          <w:rFonts w:ascii="Aptos Display" w:hAnsi="Aptos Display"/>
          <w:color w:val="1F513C"/>
        </w:rPr>
        <w:t>7. Kapitalbedarf, Bewertung und Unternehmensanteile</w:t>
      </w:r>
    </w:p>
    <w:p>
      <w:pPr>
        <w:spacing w:after="100" w:line="259" w:lineRule="auto"/>
      </w:pPr>
      <w:r>
        <w:rPr>
          <w:rFonts w:ascii="Aptos" w:hAnsi="Aptos"/>
          <w:color w:val="1F2433"/>
          <w:sz w:val="19"/>
        </w:rPr>
        <w:t>Für die nächste Entwicklungsphase wird ein Pre-Seed-Investment von 250.000 EUR vorgeschlagen. Ziel ist nicht sofortiger Vollausbau, sondern ein marktfähiger MVP mit stabiler Datenbasis, sauberem UX-Flow, ersten Pilotkunden und messbaren Nutzungsdaten.</w:t>
      </w:r>
    </w:p>
    <w:tbl>
      <w:tblPr>
        <w:tblStyle w:val="TableGrid"/>
        <w:tblW w:type="auto" w:w="0"/>
        <w:jc w:val="center"/>
        <w:tblLook w:firstColumn="1" w:firstRow="1" w:lastColumn="0" w:lastRow="0" w:noHBand="0" w:noVBand="1" w:val="04A0"/>
        <w:tblBorders>
          <w:top w:val="single" w:sz="6" w:space="0" w:color="D9E3DC"/>
          <w:left w:val="single" w:sz="6" w:space="0" w:color="D9E3DC"/>
          <w:bottom w:val="single" w:sz="6" w:space="0" w:color="D9E3DC"/>
          <w:right w:val="single" w:sz="6" w:space="0" w:color="D9E3DC"/>
          <w:insideH w:val="single" w:sz="6" w:space="0" w:color="D9E3DC"/>
          <w:insideV w:val="single" w:sz="6" w:space="0" w:color="D9E3DC"/>
        </w:tblBorders>
      </w:tblPr>
      <w:tblGrid>
        <w:gridCol w:w="3419"/>
        <w:gridCol w:w="3419"/>
        <w:gridCol w:w="3419"/>
      </w:tblGrid>
      <w:tr>
        <w:tc>
          <w:tcPr>
            <w:tcW w:type="dxa" w:w="2381"/>
            <w:vAlign w:val="top"/>
            <w:shd w:fill="1F513C"/>
          </w:tcPr>
          <w:p>
            <w:pPr>
              <w:spacing w:after="40" w:line="252" w:lineRule="auto"/>
              <w:jc w:val="left"/>
            </w:pPr>
            <w:r>
              <w:rPr>
                <w:b/>
                <w:color w:val="FFFFFF"/>
              </w:rPr>
            </w:r>
            <w:r>
              <w:rPr>
                <w:rFonts w:ascii="Aptos" w:hAnsi="Aptos"/>
                <w:b/>
                <w:color w:val="FFFFFF"/>
                <w:sz w:val="16"/>
              </w:rPr>
              <w:t>Verwendung</w:t>
            </w:r>
          </w:p>
        </w:tc>
        <w:tc>
          <w:tcPr>
            <w:tcW w:type="dxa" w:w="1701"/>
            <w:vAlign w:val="top"/>
            <w:shd w:fill="1F513C"/>
          </w:tcPr>
          <w:p>
            <w:pPr>
              <w:spacing w:after="40" w:line="252" w:lineRule="auto"/>
              <w:jc w:val="left"/>
            </w:pPr>
            <w:r>
              <w:rPr>
                <w:b/>
                <w:color w:val="FFFFFF"/>
              </w:rPr>
            </w:r>
            <w:r>
              <w:rPr>
                <w:rFonts w:ascii="Aptos" w:hAnsi="Aptos"/>
                <w:b/>
                <w:color w:val="FFFFFF"/>
                <w:sz w:val="16"/>
              </w:rPr>
              <w:t>Budget</w:t>
            </w:r>
          </w:p>
        </w:tc>
        <w:tc>
          <w:tcPr>
            <w:tcW w:type="dxa" w:w="4819"/>
            <w:vAlign w:val="top"/>
            <w:shd w:fill="1F513C"/>
          </w:tcPr>
          <w:p>
            <w:pPr>
              <w:spacing w:after="40" w:line="252" w:lineRule="auto"/>
              <w:jc w:val="left"/>
            </w:pPr>
            <w:r>
              <w:rPr>
                <w:b/>
                <w:color w:val="FFFFFF"/>
              </w:rPr>
            </w:r>
            <w:r>
              <w:rPr>
                <w:rFonts w:ascii="Aptos" w:hAnsi="Aptos"/>
                <w:b/>
                <w:color w:val="FFFFFF"/>
                <w:sz w:val="16"/>
              </w:rPr>
              <w:t>Zweck</w:t>
            </w:r>
          </w:p>
        </w:tc>
      </w:tr>
      <w:tr>
        <w:tc>
          <w:tcPr>
            <w:tcW w:type="dxa" w:w="2381"/>
            <w:vAlign w:val="top"/>
            <w:shd w:fill="FFFFFF"/>
          </w:tcPr>
          <w:p>
            <w:pPr>
              <w:spacing w:after="40" w:line="252" w:lineRule="auto"/>
              <w:jc w:val="left"/>
            </w:pPr>
            <w:r/>
            <w:r>
              <w:rPr>
                <w:rFonts w:ascii="Aptos" w:hAnsi="Aptos"/>
                <w:b w:val="0"/>
                <w:color w:val="1F2433"/>
                <w:sz w:val="17"/>
              </w:rPr>
              <w:t>Produktentwicklung</w:t>
            </w:r>
          </w:p>
        </w:tc>
        <w:tc>
          <w:tcPr>
            <w:tcW w:type="dxa" w:w="1701"/>
            <w:vAlign w:val="top"/>
            <w:shd w:fill="FFFFFF"/>
          </w:tcPr>
          <w:p>
            <w:pPr>
              <w:spacing w:after="40" w:line="252" w:lineRule="auto"/>
              <w:jc w:val="left"/>
            </w:pPr>
            <w:r/>
            <w:r>
              <w:rPr>
                <w:rFonts w:ascii="Aptos" w:hAnsi="Aptos"/>
                <w:b w:val="0"/>
                <w:color w:val="1F2433"/>
                <w:sz w:val="17"/>
              </w:rPr>
              <w:t>80.000 EUR</w:t>
            </w:r>
          </w:p>
        </w:tc>
        <w:tc>
          <w:tcPr>
            <w:tcW w:type="dxa" w:w="4819"/>
            <w:vAlign w:val="top"/>
            <w:shd w:fill="FFFFFF"/>
          </w:tcPr>
          <w:p>
            <w:pPr>
              <w:spacing w:after="40" w:line="252" w:lineRule="auto"/>
              <w:jc w:val="left"/>
            </w:pPr>
            <w:r/>
            <w:r>
              <w:rPr>
                <w:rFonts w:ascii="Aptos" w:hAnsi="Aptos"/>
                <w:b w:val="0"/>
                <w:color w:val="1F2433"/>
                <w:sz w:val="17"/>
              </w:rPr>
              <w:t>Dashboard, Chat, Recommendation Engine, Wearable-Integrationen, Stabilität.</w:t>
            </w:r>
          </w:p>
        </w:tc>
      </w:tr>
      <w:tr>
        <w:tc>
          <w:tcPr>
            <w:tcW w:type="dxa" w:w="2381"/>
            <w:vAlign w:val="top"/>
            <w:shd w:fill="F5F8F4"/>
          </w:tcPr>
          <w:p>
            <w:pPr>
              <w:spacing w:after="40" w:line="252" w:lineRule="auto"/>
              <w:jc w:val="left"/>
            </w:pPr>
            <w:r/>
            <w:r>
              <w:rPr>
                <w:rFonts w:ascii="Aptos" w:hAnsi="Aptos"/>
                <w:b w:val="0"/>
                <w:color w:val="1F2433"/>
                <w:sz w:val="17"/>
              </w:rPr>
              <w:t>Daten &amp; Compliance</w:t>
            </w:r>
          </w:p>
        </w:tc>
        <w:tc>
          <w:tcPr>
            <w:tcW w:type="dxa" w:w="1701"/>
            <w:vAlign w:val="top"/>
            <w:shd w:fill="F5F8F4"/>
          </w:tcPr>
          <w:p>
            <w:pPr>
              <w:spacing w:after="40" w:line="252" w:lineRule="auto"/>
              <w:jc w:val="left"/>
            </w:pPr>
            <w:r/>
            <w:r>
              <w:rPr>
                <w:rFonts w:ascii="Aptos" w:hAnsi="Aptos"/>
                <w:b w:val="0"/>
                <w:color w:val="1F2433"/>
                <w:sz w:val="17"/>
              </w:rPr>
              <w:t>35.000 EUR</w:t>
            </w:r>
          </w:p>
        </w:tc>
        <w:tc>
          <w:tcPr>
            <w:tcW w:type="dxa" w:w="4819"/>
            <w:vAlign w:val="top"/>
            <w:shd w:fill="F5F8F4"/>
          </w:tcPr>
          <w:p>
            <w:pPr>
              <w:spacing w:after="40" w:line="252" w:lineRule="auto"/>
              <w:jc w:val="left"/>
            </w:pPr>
            <w:r/>
            <w:r>
              <w:rPr>
                <w:rFonts w:ascii="Aptos" w:hAnsi="Aptos"/>
                <w:b w:val="0"/>
                <w:color w:val="1F2433"/>
                <w:sz w:val="17"/>
              </w:rPr>
              <w:t>Supplement-Wissensbasis, Quellenpflege, rechtliche Prüfung, Datenschutzkonzept.</w:t>
            </w:r>
          </w:p>
        </w:tc>
      </w:tr>
      <w:tr>
        <w:tc>
          <w:tcPr>
            <w:tcW w:type="dxa" w:w="2381"/>
            <w:vAlign w:val="top"/>
            <w:shd w:fill="FFFFFF"/>
          </w:tcPr>
          <w:p>
            <w:pPr>
              <w:spacing w:after="40" w:line="252" w:lineRule="auto"/>
              <w:jc w:val="left"/>
            </w:pPr>
            <w:r/>
            <w:r>
              <w:rPr>
                <w:rFonts w:ascii="Aptos" w:hAnsi="Aptos"/>
                <w:b w:val="0"/>
                <w:color w:val="1F2433"/>
                <w:sz w:val="17"/>
              </w:rPr>
              <w:t>Marketing &amp; Pilotkunden</w:t>
            </w:r>
          </w:p>
        </w:tc>
        <w:tc>
          <w:tcPr>
            <w:tcW w:type="dxa" w:w="1701"/>
            <w:vAlign w:val="top"/>
            <w:shd w:fill="FFFFFF"/>
          </w:tcPr>
          <w:p>
            <w:pPr>
              <w:spacing w:after="40" w:line="252" w:lineRule="auto"/>
              <w:jc w:val="left"/>
            </w:pPr>
            <w:r/>
            <w:r>
              <w:rPr>
                <w:rFonts w:ascii="Aptos" w:hAnsi="Aptos"/>
                <w:b w:val="0"/>
                <w:color w:val="1F2433"/>
                <w:sz w:val="17"/>
              </w:rPr>
              <w:t>60.000 EUR</w:t>
            </w:r>
          </w:p>
        </w:tc>
        <w:tc>
          <w:tcPr>
            <w:tcW w:type="dxa" w:w="4819"/>
            <w:vAlign w:val="top"/>
            <w:shd w:fill="FFFFFF"/>
          </w:tcPr>
          <w:p>
            <w:pPr>
              <w:spacing w:after="40" w:line="252" w:lineRule="auto"/>
              <w:jc w:val="left"/>
            </w:pPr>
            <w:r/>
            <w:r>
              <w:rPr>
                <w:rFonts w:ascii="Aptos" w:hAnsi="Aptos"/>
                <w:b w:val="0"/>
                <w:color w:val="1F2433"/>
                <w:sz w:val="17"/>
              </w:rPr>
              <w:t>Landingpage, Kampagnen, Fitness-/Ernährungs-Piloten, Nutzerfeedback.</w:t>
            </w:r>
          </w:p>
        </w:tc>
      </w:tr>
      <w:tr>
        <w:tc>
          <w:tcPr>
            <w:tcW w:type="dxa" w:w="2381"/>
            <w:vAlign w:val="top"/>
            <w:shd w:fill="F5F8F4"/>
          </w:tcPr>
          <w:p>
            <w:pPr>
              <w:spacing w:after="40" w:line="252" w:lineRule="auto"/>
              <w:jc w:val="left"/>
            </w:pPr>
            <w:r/>
            <w:r>
              <w:rPr>
                <w:rFonts w:ascii="Aptos" w:hAnsi="Aptos"/>
                <w:b w:val="0"/>
                <w:color w:val="1F2433"/>
                <w:sz w:val="17"/>
              </w:rPr>
              <w:t>Operations &amp; Legal</w:t>
            </w:r>
          </w:p>
        </w:tc>
        <w:tc>
          <w:tcPr>
            <w:tcW w:type="dxa" w:w="1701"/>
            <w:vAlign w:val="top"/>
            <w:shd w:fill="F5F8F4"/>
          </w:tcPr>
          <w:p>
            <w:pPr>
              <w:spacing w:after="40" w:line="252" w:lineRule="auto"/>
              <w:jc w:val="left"/>
            </w:pPr>
            <w:r/>
            <w:r>
              <w:rPr>
                <w:rFonts w:ascii="Aptos" w:hAnsi="Aptos"/>
                <w:b w:val="0"/>
                <w:color w:val="1F2433"/>
                <w:sz w:val="17"/>
              </w:rPr>
              <w:t>35.000 EUR</w:t>
            </w:r>
          </w:p>
        </w:tc>
        <w:tc>
          <w:tcPr>
            <w:tcW w:type="dxa" w:w="4819"/>
            <w:vAlign w:val="top"/>
            <w:shd w:fill="F5F8F4"/>
          </w:tcPr>
          <w:p>
            <w:pPr>
              <w:spacing w:after="40" w:line="252" w:lineRule="auto"/>
              <w:jc w:val="left"/>
            </w:pPr>
            <w:r/>
            <w:r>
              <w:rPr>
                <w:rFonts w:ascii="Aptos" w:hAnsi="Aptos"/>
                <w:b w:val="0"/>
                <w:color w:val="1F2433"/>
                <w:sz w:val="17"/>
              </w:rPr>
              <w:t>Gründung, Verträge, Buchhaltung, Marke, Partnerverträge.</w:t>
            </w:r>
          </w:p>
        </w:tc>
      </w:tr>
      <w:tr>
        <w:tc>
          <w:tcPr>
            <w:tcW w:type="dxa" w:w="2381"/>
            <w:vAlign w:val="top"/>
            <w:shd w:fill="FFFFFF"/>
          </w:tcPr>
          <w:p>
            <w:pPr>
              <w:spacing w:after="40" w:line="252" w:lineRule="auto"/>
              <w:jc w:val="left"/>
            </w:pPr>
            <w:r/>
            <w:r>
              <w:rPr>
                <w:rFonts w:ascii="Aptos" w:hAnsi="Aptos"/>
                <w:b w:val="0"/>
                <w:color w:val="1F2433"/>
                <w:sz w:val="17"/>
              </w:rPr>
              <w:t>Reserve</w:t>
            </w:r>
          </w:p>
        </w:tc>
        <w:tc>
          <w:tcPr>
            <w:tcW w:type="dxa" w:w="1701"/>
            <w:vAlign w:val="top"/>
            <w:shd w:fill="FFFFFF"/>
          </w:tcPr>
          <w:p>
            <w:pPr>
              <w:spacing w:after="40" w:line="252" w:lineRule="auto"/>
              <w:jc w:val="left"/>
            </w:pPr>
            <w:r/>
            <w:r>
              <w:rPr>
                <w:rFonts w:ascii="Aptos" w:hAnsi="Aptos"/>
                <w:b w:val="0"/>
                <w:color w:val="1F2433"/>
                <w:sz w:val="17"/>
              </w:rPr>
              <w:t>40.000 EUR</w:t>
            </w:r>
          </w:p>
        </w:tc>
        <w:tc>
          <w:tcPr>
            <w:tcW w:type="dxa" w:w="4819"/>
            <w:vAlign w:val="top"/>
            <w:shd w:fill="FFFFFF"/>
          </w:tcPr>
          <w:p>
            <w:pPr>
              <w:spacing w:after="40" w:line="252" w:lineRule="auto"/>
              <w:jc w:val="left"/>
            </w:pPr>
            <w:r/>
            <w:r>
              <w:rPr>
                <w:rFonts w:ascii="Aptos" w:hAnsi="Aptos"/>
                <w:b w:val="0"/>
                <w:color w:val="1F2433"/>
                <w:sz w:val="17"/>
              </w:rPr>
              <w:t>Puffer für technische Risiken und längere Pilotphase.</w:t>
            </w:r>
          </w:p>
        </w:tc>
      </w:tr>
      <w:tr>
        <w:tc>
          <w:tcPr>
            <w:tcW w:type="dxa" w:w="2381"/>
            <w:vAlign w:val="top"/>
            <w:shd w:fill="F5F8F4"/>
          </w:tcPr>
          <w:p>
            <w:pPr>
              <w:spacing w:after="40" w:line="252" w:lineRule="auto"/>
              <w:jc w:val="left"/>
            </w:pPr>
            <w:r/>
            <w:r>
              <w:rPr>
                <w:rFonts w:ascii="Aptos" w:hAnsi="Aptos"/>
                <w:b w:val="0"/>
                <w:color w:val="1F2433"/>
                <w:sz w:val="17"/>
              </w:rPr>
              <w:t>Gesamt</w:t>
            </w:r>
          </w:p>
        </w:tc>
        <w:tc>
          <w:tcPr>
            <w:tcW w:type="dxa" w:w="1701"/>
            <w:vAlign w:val="top"/>
            <w:shd w:fill="F5F8F4"/>
          </w:tcPr>
          <w:p>
            <w:pPr>
              <w:spacing w:after="40" w:line="252" w:lineRule="auto"/>
              <w:jc w:val="left"/>
            </w:pPr>
            <w:r/>
            <w:r>
              <w:rPr>
                <w:rFonts w:ascii="Aptos" w:hAnsi="Aptos"/>
                <w:b w:val="0"/>
                <w:color w:val="1F2433"/>
                <w:sz w:val="17"/>
              </w:rPr>
              <w:t>250.000 EUR</w:t>
            </w:r>
          </w:p>
        </w:tc>
        <w:tc>
          <w:tcPr>
            <w:tcW w:type="dxa" w:w="4819"/>
            <w:vAlign w:val="top"/>
            <w:shd w:fill="F5F8F4"/>
          </w:tcPr>
          <w:p>
            <w:pPr>
              <w:spacing w:after="40" w:line="252" w:lineRule="auto"/>
              <w:jc w:val="left"/>
            </w:pPr>
            <w:r/>
            <w:r>
              <w:rPr>
                <w:rFonts w:ascii="Aptos" w:hAnsi="Aptos"/>
                <w:b w:val="0"/>
                <w:color w:val="1F2433"/>
                <w:sz w:val="17"/>
              </w:rPr>
              <w:t>Finanzierung für ca. 12 bis 18 Monate fokussierte MVP- und Pilotphase.</w:t>
            </w:r>
          </w:p>
        </w:tc>
      </w:tr>
    </w:tbl>
    <w:p>
      <w:pPr>
        <w:spacing w:after="100" w:line="259" w:lineRule="auto"/>
      </w:pPr>
      <w:r>
        <w:rPr>
          <w:rFonts w:ascii="Aptos" w:hAnsi="Aptos"/>
          <w:color w:val="1F2433"/>
          <w:sz w:val="19"/>
        </w:rPr>
        <w:t>Bewertungsvorschlag: Eine Pre-Money-Bewertung von 1,0 Mio. EUR ist für ein frühes Software- und Health-Tech-Konzept ambitioniert, aber begründbar, wenn ein funktionierender MVP, eine klare Demo, erste Nutzerinterviews und ein skalierbares Modell vorliegen. Bei einem Investment von 250.000 EUR ergibt sich eine Post-Money-Bewertung von 1,25 Mio. EUR. Der Investor erhält damit 20 Prozent der Firmenanteile.</w:t>
      </w:r>
    </w:p>
    <w:tbl>
      <w:tblPr>
        <w:tblStyle w:val="TableGrid"/>
        <w:tblW w:type="auto" w:w="0"/>
        <w:jc w:val="center"/>
        <w:tblLook w:firstColumn="1" w:firstRow="1" w:lastColumn="0" w:lastRow="0" w:noHBand="0" w:noVBand="1" w:val="04A0"/>
        <w:tblBorders>
          <w:top w:val="single" w:sz="6" w:space="0" w:color="D9E3DC"/>
          <w:left w:val="single" w:sz="6" w:space="0" w:color="D9E3DC"/>
          <w:bottom w:val="single" w:sz="6" w:space="0" w:color="D9E3DC"/>
          <w:right w:val="single" w:sz="6" w:space="0" w:color="D9E3DC"/>
          <w:insideH w:val="single" w:sz="6" w:space="0" w:color="D9E3DC"/>
          <w:insideV w:val="single" w:sz="6" w:space="0" w:color="D9E3DC"/>
        </w:tblBorders>
      </w:tblPr>
      <w:tblGrid>
        <w:gridCol w:w="5128"/>
        <w:gridCol w:w="5128"/>
      </w:tblGrid>
      <w:tr>
        <w:tc>
          <w:tcPr>
            <w:tcW w:type="dxa" w:w="2948"/>
            <w:vAlign w:val="top"/>
            <w:shd w:fill="1F513C"/>
          </w:tcPr>
          <w:p>
            <w:pPr>
              <w:spacing w:after="40" w:line="252" w:lineRule="auto"/>
              <w:jc w:val="left"/>
            </w:pPr>
            <w:r>
              <w:rPr>
                <w:b/>
                <w:color w:val="FFFFFF"/>
              </w:rPr>
            </w:r>
            <w:r>
              <w:rPr>
                <w:rFonts w:ascii="Aptos" w:hAnsi="Aptos"/>
                <w:b/>
                <w:color w:val="FFFFFF"/>
                <w:sz w:val="16"/>
              </w:rPr>
              <w:t>Kennzahl</w:t>
            </w:r>
          </w:p>
        </w:tc>
        <w:tc>
          <w:tcPr>
            <w:tcW w:type="dxa" w:w="5896"/>
            <w:vAlign w:val="top"/>
            <w:shd w:fill="1F513C"/>
          </w:tcPr>
          <w:p>
            <w:pPr>
              <w:spacing w:after="40" w:line="252" w:lineRule="auto"/>
              <w:jc w:val="left"/>
            </w:pPr>
            <w:r>
              <w:rPr>
                <w:b/>
                <w:color w:val="FFFFFF"/>
              </w:rPr>
            </w:r>
            <w:r>
              <w:rPr>
                <w:rFonts w:ascii="Aptos" w:hAnsi="Aptos"/>
                <w:b/>
                <w:color w:val="FFFFFF"/>
                <w:sz w:val="16"/>
              </w:rPr>
              <w:t>Vorschlag</w:t>
            </w:r>
          </w:p>
        </w:tc>
      </w:tr>
      <w:tr>
        <w:tc>
          <w:tcPr>
            <w:tcW w:type="dxa" w:w="2948"/>
            <w:vAlign w:val="top"/>
            <w:shd w:fill="FFFFFF"/>
          </w:tcPr>
          <w:p>
            <w:pPr>
              <w:spacing w:after="40" w:line="252" w:lineRule="auto"/>
              <w:jc w:val="left"/>
            </w:pPr>
            <w:r/>
            <w:r>
              <w:rPr>
                <w:rFonts w:ascii="Aptos" w:hAnsi="Aptos"/>
                <w:b w:val="0"/>
                <w:color w:val="1F2433"/>
                <w:sz w:val="17"/>
              </w:rPr>
              <w:t>Pre-Money-Bewertung</w:t>
            </w:r>
          </w:p>
        </w:tc>
        <w:tc>
          <w:tcPr>
            <w:tcW w:type="dxa" w:w="5896"/>
            <w:vAlign w:val="top"/>
            <w:shd w:fill="FFFFFF"/>
          </w:tcPr>
          <w:p>
            <w:pPr>
              <w:spacing w:after="40" w:line="252" w:lineRule="auto"/>
              <w:jc w:val="left"/>
            </w:pPr>
            <w:r/>
            <w:r>
              <w:rPr>
                <w:rFonts w:ascii="Aptos" w:hAnsi="Aptos"/>
                <w:b w:val="0"/>
                <w:color w:val="1F2433"/>
                <w:sz w:val="17"/>
              </w:rPr>
              <w:t>1.000.000 EUR</w:t>
            </w:r>
          </w:p>
        </w:tc>
      </w:tr>
      <w:tr>
        <w:tc>
          <w:tcPr>
            <w:tcW w:type="dxa" w:w="2948"/>
            <w:vAlign w:val="top"/>
            <w:shd w:fill="F5F8F4"/>
          </w:tcPr>
          <w:p>
            <w:pPr>
              <w:spacing w:after="40" w:line="252" w:lineRule="auto"/>
              <w:jc w:val="left"/>
            </w:pPr>
            <w:r/>
            <w:r>
              <w:rPr>
                <w:rFonts w:ascii="Aptos" w:hAnsi="Aptos"/>
                <w:b w:val="0"/>
                <w:color w:val="1F2433"/>
                <w:sz w:val="17"/>
              </w:rPr>
              <w:t>Investment</w:t>
            </w:r>
          </w:p>
        </w:tc>
        <w:tc>
          <w:tcPr>
            <w:tcW w:type="dxa" w:w="5896"/>
            <w:vAlign w:val="top"/>
            <w:shd w:fill="F5F8F4"/>
          </w:tcPr>
          <w:p>
            <w:pPr>
              <w:spacing w:after="40" w:line="252" w:lineRule="auto"/>
              <w:jc w:val="left"/>
            </w:pPr>
            <w:r/>
            <w:r>
              <w:rPr>
                <w:rFonts w:ascii="Aptos" w:hAnsi="Aptos"/>
                <w:b w:val="0"/>
                <w:color w:val="1F2433"/>
                <w:sz w:val="17"/>
              </w:rPr>
              <w:t>250.000 EUR</w:t>
            </w:r>
          </w:p>
        </w:tc>
      </w:tr>
      <w:tr>
        <w:tc>
          <w:tcPr>
            <w:tcW w:type="dxa" w:w="2948"/>
            <w:vAlign w:val="top"/>
            <w:shd w:fill="FFFFFF"/>
          </w:tcPr>
          <w:p>
            <w:pPr>
              <w:spacing w:after="40" w:line="252" w:lineRule="auto"/>
              <w:jc w:val="left"/>
            </w:pPr>
            <w:r/>
            <w:r>
              <w:rPr>
                <w:rFonts w:ascii="Aptos" w:hAnsi="Aptos"/>
                <w:b w:val="0"/>
                <w:color w:val="1F2433"/>
                <w:sz w:val="17"/>
              </w:rPr>
              <w:t>Post-Money-Bewertung</w:t>
            </w:r>
          </w:p>
        </w:tc>
        <w:tc>
          <w:tcPr>
            <w:tcW w:type="dxa" w:w="5896"/>
            <w:vAlign w:val="top"/>
            <w:shd w:fill="FFFFFF"/>
          </w:tcPr>
          <w:p>
            <w:pPr>
              <w:spacing w:after="40" w:line="252" w:lineRule="auto"/>
              <w:jc w:val="left"/>
            </w:pPr>
            <w:r/>
            <w:r>
              <w:rPr>
                <w:rFonts w:ascii="Aptos" w:hAnsi="Aptos"/>
                <w:b w:val="0"/>
                <w:color w:val="1F2433"/>
                <w:sz w:val="17"/>
              </w:rPr>
              <w:t>1.250.000 EUR</w:t>
            </w:r>
          </w:p>
        </w:tc>
      </w:tr>
      <w:tr>
        <w:tc>
          <w:tcPr>
            <w:tcW w:type="dxa" w:w="2948"/>
            <w:vAlign w:val="top"/>
            <w:shd w:fill="F5F8F4"/>
          </w:tcPr>
          <w:p>
            <w:pPr>
              <w:spacing w:after="40" w:line="252" w:lineRule="auto"/>
              <w:jc w:val="left"/>
            </w:pPr>
            <w:r/>
            <w:r>
              <w:rPr>
                <w:rFonts w:ascii="Aptos" w:hAnsi="Aptos"/>
                <w:b w:val="0"/>
                <w:color w:val="1F2433"/>
                <w:sz w:val="17"/>
              </w:rPr>
              <w:t>Abzugebender Anteil</w:t>
            </w:r>
          </w:p>
        </w:tc>
        <w:tc>
          <w:tcPr>
            <w:tcW w:type="dxa" w:w="5896"/>
            <w:vAlign w:val="top"/>
            <w:shd w:fill="F5F8F4"/>
          </w:tcPr>
          <w:p>
            <w:pPr>
              <w:spacing w:after="40" w:line="252" w:lineRule="auto"/>
              <w:jc w:val="left"/>
            </w:pPr>
            <w:r/>
            <w:r>
              <w:rPr>
                <w:rFonts w:ascii="Aptos" w:hAnsi="Aptos"/>
                <w:b w:val="0"/>
                <w:color w:val="1F2433"/>
                <w:sz w:val="17"/>
              </w:rPr>
              <w:t>20 Prozent</w:t>
            </w:r>
          </w:p>
        </w:tc>
      </w:tr>
      <w:tr>
        <w:tc>
          <w:tcPr>
            <w:tcW w:type="dxa" w:w="2948"/>
            <w:vAlign w:val="top"/>
            <w:shd w:fill="FFFFFF"/>
          </w:tcPr>
          <w:p>
            <w:pPr>
              <w:spacing w:after="40" w:line="252" w:lineRule="auto"/>
              <w:jc w:val="left"/>
            </w:pPr>
            <w:r/>
            <w:r>
              <w:rPr>
                <w:rFonts w:ascii="Aptos" w:hAnsi="Aptos"/>
                <w:b w:val="0"/>
                <w:color w:val="1F2433"/>
                <w:sz w:val="17"/>
              </w:rPr>
              <w:t>Gründeranteile nach Runde</w:t>
            </w:r>
          </w:p>
        </w:tc>
        <w:tc>
          <w:tcPr>
            <w:tcW w:type="dxa" w:w="5896"/>
            <w:vAlign w:val="top"/>
            <w:shd w:fill="FFFFFF"/>
          </w:tcPr>
          <w:p>
            <w:pPr>
              <w:spacing w:after="40" w:line="252" w:lineRule="auto"/>
              <w:jc w:val="left"/>
            </w:pPr>
            <w:r/>
            <w:r>
              <w:rPr>
                <w:rFonts w:ascii="Aptos" w:hAnsi="Aptos"/>
                <w:b w:val="0"/>
                <w:color w:val="1F2433"/>
                <w:sz w:val="17"/>
              </w:rPr>
              <w:t>80 Prozent, vor möglichem späterem ESOP/Team-Pool</w:t>
            </w:r>
          </w:p>
        </w:tc>
      </w:tr>
    </w:tbl>
    <w:p>
      <w:pPr>
        <w:pStyle w:val="Heading1"/>
        <w:spacing w:before="160" w:after="60"/>
      </w:pPr>
      <w:r>
        <w:rPr>
          <w:rFonts w:ascii="Aptos Display" w:hAnsi="Aptos Display"/>
          <w:color w:val="1F513C"/>
        </w:rPr>
        <w:t>8. Risiken und Gegenmaßnahmen</w:t>
      </w:r>
    </w:p>
    <w:tbl>
      <w:tblPr>
        <w:tblStyle w:val="TableGrid"/>
        <w:tblW w:type="auto" w:w="0"/>
        <w:jc w:val="center"/>
        <w:tblLook w:firstColumn="1" w:firstRow="1" w:lastColumn="0" w:lastRow="0" w:noHBand="0" w:noVBand="1" w:val="04A0"/>
        <w:tblBorders>
          <w:top w:val="single" w:sz="6" w:space="0" w:color="D9E3DC"/>
          <w:left w:val="single" w:sz="6" w:space="0" w:color="D9E3DC"/>
          <w:bottom w:val="single" w:sz="6" w:space="0" w:color="D9E3DC"/>
          <w:right w:val="single" w:sz="6" w:space="0" w:color="D9E3DC"/>
          <w:insideH w:val="single" w:sz="6" w:space="0" w:color="D9E3DC"/>
          <w:insideV w:val="single" w:sz="6" w:space="0" w:color="D9E3DC"/>
        </w:tblBorders>
      </w:tblPr>
      <w:tblGrid>
        <w:gridCol w:w="5128"/>
        <w:gridCol w:w="5128"/>
      </w:tblGrid>
      <w:tr>
        <w:tc>
          <w:tcPr>
            <w:tcW w:type="dxa" w:w="2835"/>
            <w:vAlign w:val="top"/>
            <w:shd w:fill="1F513C"/>
          </w:tcPr>
          <w:p>
            <w:pPr>
              <w:spacing w:after="40" w:line="252" w:lineRule="auto"/>
              <w:jc w:val="left"/>
            </w:pPr>
            <w:r>
              <w:rPr>
                <w:b/>
                <w:color w:val="FFFFFF"/>
              </w:rPr>
            </w:r>
            <w:r>
              <w:rPr>
                <w:rFonts w:ascii="Aptos" w:hAnsi="Aptos"/>
                <w:b/>
                <w:color w:val="FFFFFF"/>
                <w:sz w:val="16"/>
              </w:rPr>
              <w:t>Risiko</w:t>
            </w:r>
          </w:p>
        </w:tc>
        <w:tc>
          <w:tcPr>
            <w:tcW w:type="dxa" w:w="6123"/>
            <w:vAlign w:val="top"/>
            <w:shd w:fill="1F513C"/>
          </w:tcPr>
          <w:p>
            <w:pPr>
              <w:spacing w:after="40" w:line="252" w:lineRule="auto"/>
              <w:jc w:val="left"/>
            </w:pPr>
            <w:r>
              <w:rPr>
                <w:b/>
                <w:color w:val="FFFFFF"/>
              </w:rPr>
            </w:r>
            <w:r>
              <w:rPr>
                <w:rFonts w:ascii="Aptos" w:hAnsi="Aptos"/>
                <w:b/>
                <w:color w:val="FFFFFF"/>
                <w:sz w:val="16"/>
              </w:rPr>
              <w:t>Gegenmaßnahme</w:t>
            </w:r>
          </w:p>
        </w:tc>
      </w:tr>
      <w:tr>
        <w:tc>
          <w:tcPr>
            <w:tcW w:type="dxa" w:w="2835"/>
            <w:vAlign w:val="top"/>
            <w:shd w:fill="FFFFFF"/>
          </w:tcPr>
          <w:p>
            <w:pPr>
              <w:spacing w:after="40" w:line="252" w:lineRule="auto"/>
              <w:jc w:val="left"/>
            </w:pPr>
            <w:r/>
            <w:r>
              <w:rPr>
                <w:rFonts w:ascii="Aptos" w:hAnsi="Aptos"/>
                <w:b w:val="0"/>
                <w:color w:val="1F2433"/>
                <w:sz w:val="17"/>
              </w:rPr>
              <w:t>Medizinische Überinterpretation</w:t>
            </w:r>
          </w:p>
        </w:tc>
        <w:tc>
          <w:tcPr>
            <w:tcW w:type="dxa" w:w="6123"/>
            <w:vAlign w:val="top"/>
            <w:shd w:fill="FFFFFF"/>
          </w:tcPr>
          <w:p>
            <w:pPr>
              <w:spacing w:after="40" w:line="252" w:lineRule="auto"/>
              <w:jc w:val="left"/>
            </w:pPr>
            <w:r/>
            <w:r>
              <w:rPr>
                <w:rFonts w:ascii="Aptos" w:hAnsi="Aptos"/>
                <w:b w:val="0"/>
                <w:color w:val="1F2433"/>
                <w:sz w:val="17"/>
              </w:rPr>
              <w:t>Klare Disclaimer, keine Diagnosen, Antworten aus Wissensbasis, Quellen und Grenzen sichtbar machen.</w:t>
            </w:r>
          </w:p>
        </w:tc>
      </w:tr>
      <w:tr>
        <w:tc>
          <w:tcPr>
            <w:tcW w:type="dxa" w:w="2835"/>
            <w:vAlign w:val="top"/>
            <w:shd w:fill="F5F8F4"/>
          </w:tcPr>
          <w:p>
            <w:pPr>
              <w:spacing w:after="40" w:line="252" w:lineRule="auto"/>
              <w:jc w:val="left"/>
            </w:pPr>
            <w:r/>
            <w:r>
              <w:rPr>
                <w:rFonts w:ascii="Aptos" w:hAnsi="Aptos"/>
                <w:b w:val="0"/>
                <w:color w:val="1F2433"/>
                <w:sz w:val="17"/>
              </w:rPr>
              <w:t>Schwache Datenqualität</w:t>
            </w:r>
          </w:p>
        </w:tc>
        <w:tc>
          <w:tcPr>
            <w:tcW w:type="dxa" w:w="6123"/>
            <w:vAlign w:val="top"/>
            <w:shd w:fill="F5F8F4"/>
          </w:tcPr>
          <w:p>
            <w:pPr>
              <w:spacing w:after="40" w:line="252" w:lineRule="auto"/>
              <w:jc w:val="left"/>
            </w:pPr>
            <w:r/>
            <w:r>
              <w:rPr>
                <w:rFonts w:ascii="Aptos" w:hAnsi="Aptos"/>
                <w:b w:val="0"/>
                <w:color w:val="1F2433"/>
                <w:sz w:val="17"/>
              </w:rPr>
              <w:t>Wearable-Daten nur als Signal nutzen, nicht als alleinige Entscheidungsgrundlage; manuelle Korrekturen erlauben.</w:t>
            </w:r>
          </w:p>
        </w:tc>
      </w:tr>
      <w:tr>
        <w:tc>
          <w:tcPr>
            <w:tcW w:type="dxa" w:w="2835"/>
            <w:vAlign w:val="top"/>
            <w:shd w:fill="FFFFFF"/>
          </w:tcPr>
          <w:p>
            <w:pPr>
              <w:spacing w:after="40" w:line="252" w:lineRule="auto"/>
              <w:jc w:val="left"/>
            </w:pPr>
            <w:r/>
            <w:r>
              <w:rPr>
                <w:rFonts w:ascii="Aptos" w:hAnsi="Aptos"/>
                <w:b w:val="0"/>
                <w:color w:val="1F2433"/>
                <w:sz w:val="17"/>
              </w:rPr>
              <w:t>Zu breiter Produktumfang</w:t>
            </w:r>
          </w:p>
        </w:tc>
        <w:tc>
          <w:tcPr>
            <w:tcW w:type="dxa" w:w="6123"/>
            <w:vAlign w:val="top"/>
            <w:shd w:fill="FFFFFF"/>
          </w:tcPr>
          <w:p>
            <w:pPr>
              <w:spacing w:after="40" w:line="252" w:lineRule="auto"/>
              <w:jc w:val="left"/>
            </w:pPr>
            <w:r/>
            <w:r>
              <w:rPr>
                <w:rFonts w:ascii="Aptos" w:hAnsi="Aptos"/>
                <w:b w:val="0"/>
                <w:color w:val="1F2433"/>
                <w:sz w:val="17"/>
              </w:rPr>
              <w:t>MVP auf wenige Kern-Supplements, wenige Zielgruppen und klare Routinen fokussieren.</w:t>
            </w:r>
          </w:p>
        </w:tc>
      </w:tr>
      <w:tr>
        <w:tc>
          <w:tcPr>
            <w:tcW w:type="dxa" w:w="2835"/>
            <w:vAlign w:val="top"/>
            <w:shd w:fill="F5F8F4"/>
          </w:tcPr>
          <w:p>
            <w:pPr>
              <w:spacing w:after="40" w:line="252" w:lineRule="auto"/>
              <w:jc w:val="left"/>
            </w:pPr>
            <w:r/>
            <w:r>
              <w:rPr>
                <w:rFonts w:ascii="Aptos" w:hAnsi="Aptos"/>
                <w:b w:val="0"/>
                <w:color w:val="1F2433"/>
                <w:sz w:val="17"/>
              </w:rPr>
              <w:t>Regulatorische Unsicherheit</w:t>
            </w:r>
          </w:p>
        </w:tc>
        <w:tc>
          <w:tcPr>
            <w:tcW w:type="dxa" w:w="6123"/>
            <w:vAlign w:val="top"/>
            <w:shd w:fill="F5F8F4"/>
          </w:tcPr>
          <w:p>
            <w:pPr>
              <w:spacing w:after="40" w:line="252" w:lineRule="auto"/>
              <w:jc w:val="left"/>
            </w:pPr>
            <w:r/>
            <w:r>
              <w:rPr>
                <w:rFonts w:ascii="Aptos" w:hAnsi="Aptos"/>
                <w:b w:val="0"/>
                <w:color w:val="1F2433"/>
                <w:sz w:val="17"/>
              </w:rPr>
              <w:t>Frühe rechtliche Prüfung zu Health Claims, Datenschutz und Produktkommunikation.</w:t>
            </w:r>
          </w:p>
        </w:tc>
      </w:tr>
      <w:tr>
        <w:tc>
          <w:tcPr>
            <w:tcW w:type="dxa" w:w="2835"/>
            <w:vAlign w:val="top"/>
            <w:shd w:fill="FFFFFF"/>
          </w:tcPr>
          <w:p>
            <w:pPr>
              <w:spacing w:after="40" w:line="252" w:lineRule="auto"/>
              <w:jc w:val="left"/>
            </w:pPr>
            <w:r/>
            <w:r>
              <w:rPr>
                <w:rFonts w:ascii="Aptos" w:hAnsi="Aptos"/>
                <w:b w:val="0"/>
                <w:color w:val="1F2433"/>
                <w:sz w:val="17"/>
              </w:rPr>
              <w:t>Nutzervertrauen</w:t>
            </w:r>
          </w:p>
        </w:tc>
        <w:tc>
          <w:tcPr>
            <w:tcW w:type="dxa" w:w="6123"/>
            <w:vAlign w:val="top"/>
            <w:shd w:fill="FFFFFF"/>
          </w:tcPr>
          <w:p>
            <w:pPr>
              <w:spacing w:after="40" w:line="252" w:lineRule="auto"/>
              <w:jc w:val="left"/>
            </w:pPr>
            <w:r/>
            <w:r>
              <w:rPr>
                <w:rFonts w:ascii="Aptos" w:hAnsi="Aptos"/>
                <w:b w:val="0"/>
                <w:color w:val="1F2433"/>
                <w:sz w:val="17"/>
              </w:rPr>
              <w:t>Transparente Quellen, nachvollziehbare Empfehlungen und keine versteckten Verkaufsinteressen.</w:t>
            </w:r>
          </w:p>
        </w:tc>
      </w:tr>
    </w:tbl>
    <w:p>
      <w:pPr>
        <w:pStyle w:val="Heading1"/>
        <w:spacing w:before="160" w:after="60"/>
      </w:pPr>
      <w:r>
        <w:rPr>
          <w:rFonts w:ascii="Aptos Display" w:hAnsi="Aptos Display"/>
          <w:color w:val="1F513C"/>
        </w:rPr>
        <w:t>9. Fazit</w:t>
      </w:r>
    </w:p>
    <w:p>
      <w:pPr>
        <w:spacing w:after="100" w:line="259" w:lineRule="auto"/>
      </w:pPr>
      <w:r>
        <w:rPr>
          <w:rFonts w:ascii="Aptos" w:hAnsi="Aptos"/>
          <w:color w:val="1F2433"/>
          <w:sz w:val="19"/>
        </w:rPr>
        <w:t>NutriMatch hat eine plausible Marktchance, weil es nicht isoliert Supplements verkauft, sondern eine personalisierte, datenbasierte Entscheidungshilfe anbietet. Der Markt für Supplements ist groß, der Trend zu personalisierter Ernährung wächst, und Wearables liefern zunehmend Signale, die Nutzer bereits verstehen. Der wichtigste Erfolgsfaktor ist Vertrauen: NutriMatch muss erklären, begrenzen und transparent bleiben. Wenn das gelingt, kann aus der aktuellen Demo ein skalierbares Produkt mit Abo-, Partner- und Shop-Erlösen entstehen.</w:t>
      </w:r>
    </w:p>
    <w:p>
      <w:pPr>
        <w:sectPr>
          <w:footerReference w:type="default" r:id="rId10"/>
          <w:pgSz w:w="12240" w:h="15840"/>
          <w:pgMar w:top="935" w:right="992" w:bottom="879" w:left="992" w:header="720" w:footer="720" w:gutter="0"/>
          <w:cols w:space="720"/>
          <w:docGrid w:linePitch="360"/>
        </w:sectPr>
      </w:pPr>
    </w:p>
    <w:p>
      <w:pPr>
        <w:pStyle w:val="Heading1"/>
        <w:spacing w:before="160" w:after="60"/>
      </w:pPr>
      <w:r>
        <w:rPr>
          <w:rFonts w:ascii="Aptos Display" w:hAnsi="Aptos Display"/>
          <w:color w:val="1F513C"/>
        </w:rPr>
        <w:t>Quellen</w:t>
      </w:r>
    </w:p>
    <w:p>
      <w:pPr>
        <w:spacing w:after="80"/>
      </w:pPr>
      <w:r>
        <w:rPr>
          <w:color w:val="1F2433"/>
          <w:sz w:val="17"/>
        </w:rPr>
        <w:t>[1] Grand View Research: Europe Dietary Supplements Market Size &amp; Outlook, 2025–2033. https://www.grandviewresearch.com/industry-analysis/europe-dietary-supplements-market-report</w:t>
      </w:r>
    </w:p>
    <w:p>
      <w:pPr>
        <w:spacing w:after="80"/>
      </w:pPr>
      <w:r>
        <w:rPr>
          <w:color w:val="1F2433"/>
          <w:sz w:val="17"/>
        </w:rPr>
        <w:t>[2] Grand View Research: Personalized Retail Nutrition And Wellness Market Size &amp; Trends, 2024–2030. https://www.grandviewresearch.com/industry-analysis/personalized-retail-nutrition-wellness-market</w:t>
      </w:r>
    </w:p>
    <w:p>
      <w:pPr>
        <w:spacing w:after="80"/>
      </w:pPr>
      <w:r>
        <w:rPr>
          <w:color w:val="1F2433"/>
          <w:sz w:val="17"/>
        </w:rPr>
        <w:t>[3] Grand View Research: Wearable Technology Market Size &amp; Trends, 2026–2033. https://www.grandviewresearch.com/industry-analysis/wearable-technology-market</w:t>
      </w:r>
    </w:p>
    <w:p>
      <w:pPr>
        <w:spacing w:after="80"/>
      </w:pPr>
      <w:r>
        <w:rPr>
          <w:color w:val="1F2433"/>
          <w:sz w:val="17"/>
        </w:rPr>
        <w:t>[4] European Food Safety Authority (EFSA): Health claims. https://www.efsa.europa.eu/en/topics/topic/health-claims</w:t>
      </w:r>
    </w:p>
    <w:p>
      <w:pPr>
        <w:spacing w:after="80"/>
      </w:pPr>
      <w:r>
        <w:rPr>
          <w:color w:val="1F2433"/>
          <w:sz w:val="17"/>
        </w:rPr>
        <w:t>[5] NutriMatch Projektstand: React/Vite-Frontend, FastAPI-Backend, Supplement-Wissensbasis, KI-Chat und Apple-Watch/HeartCast-Demo-Integration.</w:t>
      </w:r>
    </w:p>
    <w:sectPr w:rsidR="00FC693F" w:rsidRPr="0006063C" w:rsidSect="00034616">
      <w:pgSz w:w="12240" w:h="15840"/>
      <w:pgMar w:top="935"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B7A"/>
        <w:sz w:val="16"/>
      </w:rPr>
      <w:t>NutriMatch Business Paper | Markt, Produkt, Skalierung und Finanzierung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4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51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B4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6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513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