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Phase B: Hypothesen- und Robustheitsergebnisse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1506"/>
        <w:gridCol w:w="1506"/>
        <w:gridCol w:w="1506"/>
        <w:gridCol w:w="1506"/>
        <w:gridCol w:w="1506"/>
        <w:gridCol w:w="1510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Spezifikation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Effekt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Schaetzer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Robuster_SE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p_Wert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N</w:t>
            </w:r>
          </w:p>
        </w:tc>
        <w:tc>
          <w:tcPr>
            <w:tcW w:w="151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Jahre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Hauptmodell: Bedingungen pro Quartal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-0.933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1.920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0.628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Hauptmodell: Rohstoffsumme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0.286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Fuel-Exporte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unsc3:FuelExportPct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-0.224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0.098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0.024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213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Mineral-Exporte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unsc3:MineralExportPct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0.012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0.113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0.915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217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Placebo: gesamte Exporte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unsc3:ExportGDP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0.132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0.368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Robustheit: IMF-Kreditbestand statt Nettoflüsse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-0.787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1.919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0.682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IMF-Kreditbestand statt Nettoflüsse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-0.104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0.302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Robustheit: berichteter IMF-Kreditbestand, fehlend ausgeschlossen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-0.787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1.919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0.682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berichteter IMF-Kreditbestand, fehlend ausgeschlossen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-0.104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0.302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Basismodell: Länder-FE, nur nrquarterssmpl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-0.454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1.854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0.806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514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Vollmodell: Länder-FE, DSV-Kontrollen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0.144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2.816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0.959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Vollmodell: Länder- und Jahres-FE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-0.933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1.920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0.628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Vollmodell: DSV-nahes GLS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0.046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1.422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0.974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Basismodell: Länder-FE, nur nrquarterssmpl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0.060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0.078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0.439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380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Vollmodell: Länder-FE, DSV-Kontrollen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-0.055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0.132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0.677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Vollmodell: Länder- und Jahres-FE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0.286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Vollmodell: DSV-nahes GLS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-0.014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0.841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Rohstoffsumme winsorisiert (1./99. Perzentil)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unsc3:resource_dep_winsor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0.285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Zeitraum 1992-2008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0.274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0.012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1992--2007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Zeitraum 2009-2023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-0.377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0.202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0.072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88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2009--2023</w:t>
            </w:r>
          </w:p>
        </w:tc>
      </w:tr>
    </w:tbl>
    <w:p>
      <w:pPr>
        <w:spacing w:after="0"/>
      </w:pPr>
      <w:r>
        <w:rPr>
          <w:sz w:val="16"/>
        </w:rPr>
        <w:t xml:space="preserve">Robuste heteroskedastizitaetskonsistente Standardfehler. Die Tabelle fasst H1 und H2 einschließlich Robustheiten zusammen.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