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4"/>
        </w:rPr>
        <w:t xml:space="preserve">Phase B: Gesamtvergleich der Modellspezifikationen (1992–2023)</w:t>
      </w:r>
    </w:p>
    <w:tbl>
      <w:tblPr>
        <w:tblW w:w="12240" w:type="dxa"/>
        <w:tblLayout w:type="fixed"/>
        <w:tblBorders>
          <w:top w:val="single" w:sz="8" w:color="808080"/>
          <w:left w:val="nil"/>
          <w:bottom w:val="single" w:sz="8" w:color="808080"/>
          <w:right w:val="nil"/>
          <w:insideH w:val="single" w:sz="4" w:color="D9D9D9"/>
          <w:insideV w:val="single" w:sz="4" w:color="D9D9D9"/>
        </w:tblBorders>
      </w:tblPr>
      <w:tblGrid>
        <w:gridCol w:w="3200"/>
        <w:gridCol w:w="1506"/>
        <w:gridCol w:w="1506"/>
        <w:gridCol w:w="1506"/>
        <w:gridCol w:w="1506"/>
        <w:gridCol w:w="1506"/>
        <w:gridCol w:w="1510"/>
      </w:tblGrid>
      <w:tr>
        <w:trPr>
          <w:tblHeader/>
        </w:trPr>
        <w:tc>
          <w:tcPr>
            <w:tcW w:w="320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b/>
                <w:sz w:val="16"/>
              </w:rPr>
              <w:t xml:space="preserve">Spezifikation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Effekt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Schaetzer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Robuster_SE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p_Wert</w:t>
            </w:r>
          </w:p>
        </w:tc>
        <w:tc>
          <w:tcPr>
            <w:tcW w:w="1506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N</w:t>
            </w:r>
          </w:p>
        </w:tc>
        <w:tc>
          <w:tcPr>
            <w:tcW w:w="1510" w:type="dxa"/>
            <w:shd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b/>
                <w:sz w:val="16"/>
              </w:rPr>
              <w:t xml:space="preserve">Jahre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Basismodell: Länder-FE, nur nrquarterssmpl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-0.454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1.854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0.806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514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Länder-FE, DSV-Kontrollen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0.144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2.816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0.959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Länder- und Jahres-FE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-0.933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1.920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0.628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281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H1 Vollmodell: DSV-nahes GLS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0.046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1.422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0.974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282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Basismodell: Länder-FE, nur nrquarterssmpl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0.060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0.078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0.439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380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Länder-FE, DSV-Kontrollen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-0.055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0.132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0.677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Länder- und Jahres-FE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-0.111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0.103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0.286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  <w:t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left"/>
              <w:spacing w:after="0"/>
            </w:pPr>
            <w:r>
              <w:rPr>
                <w:sz w:val="16"/>
              </w:rPr>
              <w:t xml:space="preserve">H2 Vollmodell: DSV-nahes GLS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unsc3:resource_dep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-0.014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0.067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0.841</w:t>
            </w:r>
          </w:p>
        </w:tc>
        <w:tc>
          <w:tcPr>
            <w:tcW w:w="150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212</w:t>
            </w:r>
          </w:p>
        </w:tc>
        <w:tc>
          <w:tcPr>
            <w:tcW w:w="151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jc w:val="right"/>
              <w:spacing w:after="0"/>
            </w:pPr>
            <w:r>
              <w:rPr>
                <w:sz w:val="16"/>
              </w:rPr>
              <w:t xml:space="preserve">1992--2023</w:t>
            </w:r>
          </w:p>
        </w:tc>
      </w:tr>
    </w:tbl>
    <w:p>
      <w:pPr>
        <w:spacing w:after="0"/>
      </w:pPr>
      <w:r>
        <w:rPr>
          <w:sz w:val="16"/>
        </w:rPr>
        <w:t xml:space="preserve">Basismodelle, DSV-Vollmodelle, Zwei-Wege-FE-Modelle und DSV-nahe GLS-Spezifikationen für H1/H2.</w:t>
      </w:r>
    </w:p>
    <w:sectPr>
      <w:pgSz w:w="15840" w:h="12240" w:orient="landscape"/>
      <w:pgMar w:top="900" w:right="1440" w:bottom="900" w:left="1440" w:header="720" w:footer="720" w:gutter="0"/>
    </w:sectPr>
  </w:body>
</w:document>
</file>

<file path=word/_rels/document.xml.rels><?xml version="1.0" encoding="UTF-8" standalone="yes"?>
<Relationships xmlns="http://schemas.openxmlformats.org/package/2006/relationships"/>

</file>