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rPr>
          <w:rFonts w:hint="eastAsia" w:cs="Times New Roman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0" w:right="0" w:hanging="36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Table 1 risk factors of pressure ulcer in operating room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543"/>
        <w:gridCol w:w="1650"/>
        <w:gridCol w:w="1650"/>
        <w:gridCol w:w="1650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68" w:type="dxa"/>
            <w:noWrap w:val="0"/>
            <w:vAlign w:val="top"/>
          </w:tcPr>
          <w:p>
            <w:pPr>
              <w:jc w:val="both"/>
              <w:rPr>
                <w:rFonts w:cs="Times New Roman"/>
                <w:b/>
                <w:bCs/>
              </w:rPr>
            </w:pPr>
            <w:r>
              <w:rPr>
                <w:rFonts w:hint="eastAsia"/>
                <w:b w:val="0"/>
                <w:bCs w:val="0"/>
              </w:rPr>
              <w:t>evaluation item</w:t>
            </w:r>
          </w:p>
        </w:tc>
        <w:tc>
          <w:tcPr>
            <w:tcW w:w="6493" w:type="dxa"/>
            <w:gridSpan w:val="4"/>
            <w:noWrap w:val="0"/>
            <w:vAlign w:val="top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Assessment rules</w:t>
            </w: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  <w:b/>
                <w:bCs/>
              </w:rPr>
              <w:t>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68" w:type="dxa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  <w:tc>
          <w:tcPr>
            <w:tcW w:w="1543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>
              <w:rPr>
                <w:rFonts w:hint="eastAsia"/>
              </w:rPr>
              <w:t>Points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hint="eastAsia"/>
              </w:rPr>
              <w:t>Points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>
              <w:rPr>
                <w:rFonts w:hint="eastAsia"/>
              </w:rPr>
              <w:t>Points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/>
              </w:rPr>
              <w:t>Points</w:t>
            </w: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543" w:type="dxa"/>
            <w:noWrap w:val="0"/>
            <w:vAlign w:val="top"/>
          </w:tcPr>
          <w:p>
            <w:pPr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＜</w:t>
            </w:r>
            <w:r>
              <w:rPr>
                <w:rFonts w:cs="Times New Roman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Year</w:t>
            </w:r>
          </w:p>
          <w:p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50" w:type="dxa"/>
            <w:noWrap w:val="0"/>
            <w:vAlign w:val="top"/>
          </w:tcPr>
          <w:p>
            <w:pPr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50~64</w:t>
            </w:r>
            <w:r>
              <w:rPr>
                <w:rFonts w:hint="eastAsia"/>
                <w:sz w:val="18"/>
                <w:szCs w:val="18"/>
              </w:rPr>
              <w:t>Year</w:t>
            </w:r>
          </w:p>
          <w:p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50" w:type="dxa"/>
            <w:noWrap w:val="0"/>
            <w:vAlign w:val="top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65~79</w:t>
            </w:r>
            <w:r>
              <w:rPr>
                <w:rFonts w:hint="eastAsia"/>
                <w:sz w:val="18"/>
                <w:szCs w:val="18"/>
              </w:rPr>
              <w:t>Year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≥80</w:t>
            </w:r>
            <w:r>
              <w:rPr>
                <w:rFonts w:hint="eastAsia"/>
                <w:sz w:val="18"/>
                <w:szCs w:val="18"/>
              </w:rPr>
              <w:t>Year</w:t>
            </w: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543" w:type="dxa"/>
            <w:noWrap w:val="0"/>
            <w:vAlign w:val="top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Normal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spacing w:line="52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Lightly emaciated or overweight.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spacing w:line="52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Moderate thinning or obesity.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spacing w:line="52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Heavy weight loss or obesity.</w:t>
            </w: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Stress point skin</w:t>
            </w:r>
          </w:p>
        </w:tc>
        <w:tc>
          <w:tcPr>
            <w:tcW w:w="1543" w:type="dxa"/>
            <w:shd w:val="solid" w:color="F0F8FF" w:fill="auto"/>
            <w:noWrap w:val="0"/>
            <w:vAlign w:val="center"/>
          </w:tcPr>
          <w:p>
            <w:pPr>
              <w:shd w:val="solid" w:color="F0F8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 good condition</w:t>
            </w:r>
          </w:p>
        </w:tc>
        <w:tc>
          <w:tcPr>
            <w:tcW w:w="1650" w:type="dxa"/>
            <w:shd w:val="solid" w:color="F0F8FF" w:fill="auto"/>
            <w:noWrap w:val="0"/>
            <w:vAlign w:val="center"/>
          </w:tcPr>
          <w:p>
            <w:pPr>
              <w:shd w:val="solid" w:color="F0F8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Erythema and/or moist.</w:t>
            </w:r>
          </w:p>
        </w:tc>
        <w:tc>
          <w:tcPr>
            <w:tcW w:w="1650" w:type="dxa"/>
            <w:shd w:val="solid" w:color="F0F8FF" w:fill="auto"/>
            <w:noWrap w:val="0"/>
            <w:vAlign w:val="center"/>
          </w:tcPr>
          <w:p>
            <w:pPr>
              <w:shd w:val="solid" w:color="F0F8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ecchymosis and/or blister.</w:t>
            </w:r>
          </w:p>
        </w:tc>
        <w:tc>
          <w:tcPr>
            <w:tcW w:w="1650" w:type="dxa"/>
            <w:shd w:val="solid" w:color="F0F8FF" w:fill="auto"/>
            <w:noWrap w:val="0"/>
            <w:vAlign w:val="center"/>
          </w:tcPr>
          <w:p>
            <w:pPr>
              <w:shd w:val="solid" w:color="F0F8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Damage</w:t>
            </w: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shd w:val="clear" w:color="auto" w:fill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Surgical position</w:t>
            </w:r>
          </w:p>
        </w:tc>
        <w:tc>
          <w:tcPr>
            <w:tcW w:w="1543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Supine position</w:t>
            </w: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 anesthesia prone or lateral position.</w:t>
            </w: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Slope lying position, stone cutting position.</w:t>
            </w: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General anesthesia prone position.</w:t>
            </w: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068" w:type="dxa"/>
            <w:shd w:val="clear" w:color="auto" w:fill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An external force is expected to be applied during the operation.</w:t>
            </w:r>
          </w:p>
        </w:tc>
        <w:tc>
          <w:tcPr>
            <w:tcW w:w="1543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 external force is applied.</w:t>
            </w: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There is friction or shear.</w:t>
            </w: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Impact force</w:t>
            </w: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There is also friction.Shear and impact forces.</w:t>
            </w: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068" w:type="dxa"/>
            <w:shd w:val="clear" w:color="auto" w:fill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Estimated operating time</w:t>
            </w:r>
          </w:p>
        </w:tc>
        <w:tc>
          <w:tcPr>
            <w:tcW w:w="1543" w:type="dxa"/>
            <w:shd w:val="solid" w:color="FFFFFF" w:fill="auto"/>
            <w:noWrap w:val="0"/>
            <w:vAlign w:val="center"/>
          </w:tcPr>
          <w:p>
            <w:pPr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＜</w:t>
            </w:r>
            <w:r>
              <w:rPr>
                <w:rFonts w:cs="Times New Roman"/>
                <w:sz w:val="18"/>
                <w:szCs w:val="18"/>
              </w:rPr>
              <w:t>3h</w:t>
            </w:r>
          </w:p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3~4h</w:t>
            </w: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＞</w:t>
            </w:r>
            <w:r>
              <w:rPr>
                <w:rFonts w:cs="Times New Roman"/>
                <w:sz w:val="18"/>
                <w:szCs w:val="18"/>
              </w:rPr>
              <w:t>4h</w:t>
            </w:r>
            <w:r>
              <w:rPr>
                <w:rFonts w:hint="eastAsia"/>
                <w:sz w:val="18"/>
                <w:szCs w:val="18"/>
              </w:rPr>
              <w:t>and ≤</w:t>
            </w:r>
            <w:r>
              <w:rPr>
                <w:rFonts w:cs="Times New Roman"/>
                <w:sz w:val="18"/>
                <w:szCs w:val="18"/>
              </w:rPr>
              <w:t>5h</w:t>
            </w: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＞</w:t>
            </w:r>
            <w:r>
              <w:rPr>
                <w:rFonts w:cs="Times New Roman"/>
                <w:sz w:val="18"/>
                <w:szCs w:val="18"/>
              </w:rPr>
              <w:t>5h</w:t>
            </w:r>
          </w:p>
        </w:tc>
        <w:tc>
          <w:tcPr>
            <w:tcW w:w="961" w:type="dxa"/>
            <w:vMerge w:val="restart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8" w:type="dxa"/>
            <w:shd w:val="clear" w:color="auto" w:fill="auto"/>
            <w:noWrap w:val="0"/>
            <w:vAlign w:val="top"/>
          </w:tcPr>
          <w:p>
            <w:pPr>
              <w:rPr>
                <w:rFonts w:eastAsia="Times New Roman" w:cs="Times New Roman"/>
              </w:rPr>
            </w:pPr>
            <w:r>
              <w:rPr>
                <w:rFonts w:hint="eastAsia"/>
              </w:rPr>
              <w:t>Estimated surgical bleeding</w:t>
            </w:r>
          </w:p>
        </w:tc>
        <w:tc>
          <w:tcPr>
            <w:tcW w:w="1543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＜</w:t>
            </w:r>
            <w:r>
              <w:rPr>
                <w:rFonts w:cs="Times New Roman"/>
                <w:sz w:val="18"/>
                <w:szCs w:val="18"/>
              </w:rPr>
              <w:t>500ml</w:t>
            </w: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500~1000ml</w:t>
            </w: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＞</w:t>
            </w:r>
            <w:r>
              <w:rPr>
                <w:rFonts w:cs="Times New Roman"/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and ≤</w:t>
            </w:r>
            <w:r>
              <w:rPr>
                <w:rFonts w:cs="Times New Roman"/>
                <w:sz w:val="18"/>
                <w:szCs w:val="18"/>
              </w:rPr>
              <w:t>1500ml</w:t>
            </w:r>
          </w:p>
        </w:tc>
        <w:tc>
          <w:tcPr>
            <w:tcW w:w="1650" w:type="dxa"/>
            <w:shd w:val="solid" w:color="FFFFFF" w:fill="auto"/>
            <w:noWrap w:val="0"/>
            <w:vAlign w:val="center"/>
          </w:tcPr>
          <w:p>
            <w:pPr>
              <w:shd w:val="solid" w:color="FFFFFF" w:fill="auto"/>
              <w:autoSpaceDN w:val="0"/>
              <w:spacing w:line="36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＞</w:t>
            </w:r>
            <w:r>
              <w:rPr>
                <w:rFonts w:cs="Times New Roman"/>
                <w:sz w:val="18"/>
                <w:szCs w:val="18"/>
              </w:rPr>
              <w:t>1500ml</w:t>
            </w:r>
          </w:p>
        </w:tc>
        <w:tc>
          <w:tcPr>
            <w:tcW w:w="961" w:type="dxa"/>
            <w:vMerge w:val="continue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68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eastAsia="Times New Roman" w:cs="Times New Roman"/>
              </w:rPr>
            </w:pPr>
            <w:r>
              <w:rPr>
                <w:rFonts w:hint="eastAsia"/>
              </w:rPr>
              <w:t>Special surgical factors</w:t>
            </w:r>
          </w:p>
          <w:p>
            <w:pPr>
              <w:shd w:val="solid" w:color="F0F8FF" w:fill="auto"/>
              <w:autoSpaceDN w:val="0"/>
              <w:spacing w:line="360" w:lineRule="auto"/>
              <w:rPr>
                <w:rFonts w:cs="Times New Roman"/>
              </w:rPr>
            </w:pPr>
          </w:p>
        </w:tc>
        <w:tc>
          <w:tcPr>
            <w:tcW w:w="6493" w:type="dxa"/>
            <w:gridSpan w:val="4"/>
            <w:shd w:val="solid" w:color="FFFFFF" w:fill="auto"/>
            <w:noWrap w:val="0"/>
            <w:vAlign w:val="center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General anesthesia prone position, the patient's face skin thin, swollen, thin, plus.</w:t>
            </w:r>
            <w:r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Points</w:t>
            </w: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68" w:type="dxa"/>
            <w:vMerge w:val="continue"/>
            <w:shd w:val="solid" w:color="F0F8FF" w:fill="auto"/>
            <w:noWrap w:val="0"/>
            <w:vAlign w:val="center"/>
          </w:tcPr>
          <w:p>
            <w:pPr>
              <w:shd w:val="solid" w:color="F0F8FF" w:fill="auto"/>
              <w:autoSpaceDN w:val="0"/>
              <w:spacing w:line="360" w:lineRule="auto"/>
              <w:rPr>
                <w:rFonts w:cs="Times New Roman"/>
              </w:rPr>
            </w:pPr>
          </w:p>
        </w:tc>
        <w:tc>
          <w:tcPr>
            <w:tcW w:w="6493" w:type="dxa"/>
            <w:gridSpan w:val="4"/>
            <w:shd w:val="solid" w:color="F0F8FF" w:fill="auto"/>
            <w:noWrap w:val="0"/>
            <w:vAlign w:val="center"/>
          </w:tcPr>
          <w:p>
            <w:pPr>
              <w:shd w:val="solid" w:color="F0F8FF" w:fill="auto"/>
              <w:autoSpaceDN w:val="0"/>
              <w:spacing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Controlled hypotension, hypothermia anesthesia, plus.</w:t>
            </w:r>
            <w:r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Points</w:t>
            </w:r>
          </w:p>
        </w:tc>
        <w:tc>
          <w:tcPr>
            <w:tcW w:w="961" w:type="dxa"/>
            <w:vMerge w:val="restart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68" w:type="dxa"/>
            <w:vMerge w:val="continue"/>
            <w:shd w:val="solid" w:color="F0F8FF" w:fill="auto"/>
            <w:noWrap w:val="0"/>
            <w:vAlign w:val="center"/>
          </w:tcPr>
          <w:p>
            <w:pPr>
              <w:shd w:val="solid" w:color="F0F8FF" w:fill="auto"/>
              <w:autoSpaceDN w:val="0"/>
              <w:spacing w:line="360" w:lineRule="auto"/>
              <w:rPr>
                <w:rFonts w:cs="Times New Roman"/>
              </w:rPr>
            </w:pPr>
          </w:p>
        </w:tc>
        <w:tc>
          <w:tcPr>
            <w:tcW w:w="6493" w:type="dxa"/>
            <w:gridSpan w:val="4"/>
            <w:shd w:val="solid" w:color="F0F8FF" w:fill="auto"/>
            <w:noWrap w:val="0"/>
            <w:vAlign w:val="center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Other conditions (e. g. shock, edema, severe trauma) are added as appropriate.</w:t>
            </w:r>
            <w:r>
              <w:rPr>
                <w:rFonts w:cs="Times New Roman"/>
                <w:sz w:val="18"/>
                <w:szCs w:val="18"/>
              </w:rPr>
              <w:t>1~4</w:t>
            </w:r>
            <w:r>
              <w:rPr>
                <w:rFonts w:hint="eastAsia"/>
                <w:sz w:val="18"/>
                <w:szCs w:val="18"/>
              </w:rPr>
              <w:t>Points</w:t>
            </w:r>
          </w:p>
        </w:tc>
        <w:tc>
          <w:tcPr>
            <w:tcW w:w="961" w:type="dxa"/>
            <w:vMerge w:val="continue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68" w:type="dxa"/>
            <w:shd w:val="solid" w:color="F0F8FF" w:fill="auto"/>
            <w:noWrap w:val="0"/>
            <w:vAlign w:val="center"/>
          </w:tcPr>
          <w:p>
            <w:pPr>
              <w:shd w:val="solid" w:color="F0F8FF" w:fill="auto"/>
              <w:autoSpaceDN w:val="0"/>
              <w:spacing w:line="360" w:lineRule="auto"/>
              <w:rPr>
                <w:rFonts w:cs="Times New Roman"/>
              </w:rPr>
            </w:pPr>
            <w:r>
              <w:rPr>
                <w:rFonts w:hint="eastAsia"/>
                <w:b/>
                <w:bCs/>
              </w:rPr>
              <w:t>Total</w:t>
            </w:r>
          </w:p>
        </w:tc>
        <w:tc>
          <w:tcPr>
            <w:tcW w:w="6493" w:type="dxa"/>
            <w:gridSpan w:val="4"/>
            <w:shd w:val="solid" w:color="F0F8FF" w:fill="auto"/>
            <w:noWrap w:val="0"/>
            <w:vAlign w:val="center"/>
          </w:tcPr>
          <w:p>
            <w:pPr>
              <w:shd w:val="solid" w:color="F0F8FF" w:fill="auto"/>
              <w:autoSpaceDN w:val="0"/>
              <w:spacing w:line="360" w:lineRule="auto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</w:tr>
    </w:tbl>
    <w:p>
      <w:pPr>
        <w:widowControl w:val="0"/>
        <w:autoSpaceDE w:val="0"/>
        <w:autoSpaceDN w:val="0"/>
        <w:ind w:left="517" w:hanging="517" w:hangingChars="245"/>
        <w:rPr>
          <w:rFonts w:eastAsia="Times New Roman" w:cs="Times New Roman"/>
          <w:b/>
          <w:bCs/>
        </w:rPr>
      </w:pPr>
      <w:r>
        <w:rPr>
          <w:rFonts w:hint="eastAsia"/>
          <w:b/>
        </w:rPr>
        <w:t>Remarks: For</w:t>
      </w:r>
      <w:r>
        <w:rPr>
          <w:rFonts w:hint="eastAsia"/>
          <w:b/>
          <w:bCs/>
        </w:rPr>
        <w:t>Age&gt;</w:t>
      </w:r>
      <w:r>
        <w:rPr>
          <w:rFonts w:cs="Times New Roman"/>
          <w:b/>
          <w:bCs/>
        </w:rPr>
        <w:t>50</w:t>
      </w:r>
      <w:r>
        <w:rPr>
          <w:rFonts w:hint="eastAsia"/>
          <w:b/>
          <w:bCs/>
        </w:rPr>
        <w:t>Years, operation time &gt;.</w:t>
      </w:r>
      <w:r>
        <w:rPr>
          <w:rFonts w:hint="eastAsia" w:cs="Times New Roman"/>
          <w:b/>
          <w:bCs/>
        </w:rPr>
        <w:t>3</w:t>
      </w:r>
      <w:r>
        <w:rPr>
          <w:rFonts w:cs="Times New Roman"/>
          <w:b/>
          <w:bCs/>
        </w:rPr>
        <w:t>h</w:t>
      </w:r>
      <w:r>
        <w:rPr>
          <w:rFonts w:hint="eastAsia"/>
          <w:b/>
          <w:bCs/>
        </w:rPr>
        <w:t>, weight &gt;</w:t>
      </w:r>
      <w:r>
        <w:rPr>
          <w:rFonts w:cs="Times New Roman"/>
          <w:b/>
          <w:bCs/>
        </w:rPr>
        <w:t>180kg</w:t>
      </w:r>
      <w:r>
        <w:rPr>
          <w:rFonts w:hint="eastAsia"/>
          <w:b/>
          <w:bCs/>
        </w:rPr>
        <w:t>or &lt;</w:t>
      </w:r>
      <w:r>
        <w:rPr>
          <w:rFonts w:cs="Times New Roman"/>
          <w:b/>
          <w:bCs/>
        </w:rPr>
        <w:t>35kg</w:t>
      </w:r>
      <w:r>
        <w:rPr>
          <w:rFonts w:hint="eastAsia"/>
          <w:b/>
          <w:bCs/>
        </w:rPr>
        <w:t>Special position and other surgical patients.</w:t>
      </w:r>
      <w:r>
        <w:rPr>
          <w:rFonts w:hint="eastAsia"/>
          <w:b/>
        </w:rPr>
        <w:t>Must be assessed</w:t>
      </w:r>
    </w:p>
    <w:p>
      <w:pPr>
        <w:rPr>
          <w:rFonts w:hint="eastAsia" w:cs="Times New Roman"/>
          <w:b/>
          <w:bCs/>
        </w:rPr>
      </w:pPr>
    </w:p>
    <w:p>
      <w:pPr>
        <w:rPr>
          <w:rFonts w:cs="Times New Roman"/>
        </w:rPr>
      </w:pPr>
      <w:r>
        <w:rPr>
          <w:rFonts w:cs="Times New Roman"/>
          <w:b/>
          <w:bCs/>
        </w:rPr>
        <w:t>1</w:t>
      </w:r>
      <w:r>
        <w:rPr>
          <w:rFonts w:hint="eastAsia"/>
          <w:b/>
          <w:bCs/>
        </w:rPr>
        <w:t>Standard Weight:</w:t>
      </w:r>
      <w:r>
        <w:rPr>
          <w:rFonts w:hint="eastAsia"/>
        </w:rPr>
        <w:t>Height</w:t>
      </w:r>
      <w:r>
        <w:rPr>
          <w:rFonts w:cs="Times New Roman"/>
        </w:rPr>
        <w:t>(</w:t>
      </w:r>
      <w:r>
        <w:rPr>
          <w:rFonts w:hint="eastAsia"/>
        </w:rPr>
        <w:t>Centimeters</w:t>
      </w:r>
      <w:r>
        <w:rPr>
          <w:rFonts w:cs="Times New Roman"/>
        </w:rPr>
        <w:t>)</w:t>
      </w:r>
      <w:r>
        <w:rPr>
          <w:rFonts w:hint="eastAsia"/>
        </w:rPr>
        <w:t>―</w:t>
      </w:r>
      <w:r>
        <w:rPr>
          <w:rFonts w:cs="Times New Roman"/>
        </w:rPr>
        <w:t>105=</w:t>
      </w:r>
      <w:r>
        <w:rPr>
          <w:rFonts w:hint="eastAsia"/>
        </w:rPr>
        <w:t>Weight</w:t>
      </w:r>
      <w:r>
        <w:rPr>
          <w:rFonts w:cs="Times New Roman"/>
        </w:rPr>
        <w:t>(</w:t>
      </w:r>
      <w:r>
        <w:rPr>
          <w:rFonts w:hint="eastAsia"/>
        </w:rPr>
        <w:t>Kg</w:t>
      </w:r>
      <w:r>
        <w:rPr>
          <w:rFonts w:cs="Times New Roman"/>
        </w:rPr>
        <w:t>)</w:t>
      </w:r>
      <w:r>
        <w:rPr>
          <w:rFonts w:hint="eastAsia"/>
        </w:rPr>
        <w:t>. When the body weight is lower than the standard weight.</w:t>
      </w:r>
      <w:r>
        <w:rPr>
          <w:rFonts w:cs="Times New Roman"/>
        </w:rPr>
        <w:t>20%</w:t>
      </w:r>
      <w:r>
        <w:rPr>
          <w:rFonts w:hint="eastAsia"/>
        </w:rPr>
        <w:t>Slightly thin(fat).</w:t>
      </w:r>
      <w:r>
        <w:rPr>
          <w:rFonts w:cs="Times New Roman"/>
        </w:rPr>
        <w:t>;</w:t>
      </w:r>
      <w:r>
        <w:rPr>
          <w:rFonts w:hint="eastAsia"/>
        </w:rPr>
        <w:t>When the weight is below (above) the standard weight.</w:t>
      </w:r>
      <w:r>
        <w:rPr>
          <w:rFonts w:cs="Times New Roman"/>
        </w:rPr>
        <w:t>30%</w:t>
      </w:r>
      <w:r>
        <w:rPr>
          <w:rFonts w:hint="eastAsia"/>
        </w:rPr>
        <w:t>Being moderately emaciated (obese); when the weight is below (above) the standard weight.</w:t>
      </w:r>
      <w:r>
        <w:rPr>
          <w:rFonts w:cs="Times New Roman"/>
        </w:rPr>
        <w:t>40%</w:t>
      </w:r>
      <w:r>
        <w:rPr>
          <w:rFonts w:hint="eastAsia"/>
        </w:rPr>
        <w:t>It is severe wasting (fat).</w:t>
      </w:r>
    </w:p>
    <w:p>
      <w:pPr>
        <w:rPr>
          <w:rFonts w:eastAsia="Times New Roman" w:cs="Times New Roman"/>
        </w:rPr>
      </w:pPr>
      <w:r>
        <w:rPr>
          <w:rFonts w:cs="Times New Roman"/>
          <w:b/>
          <w:bCs/>
        </w:rPr>
        <w:t>2</w:t>
      </w:r>
      <w:r>
        <w:rPr>
          <w:rFonts w:hint="eastAsia"/>
          <w:b/>
          <w:bCs/>
        </w:rPr>
        <w:t>受力点皮肤</w:t>
      </w:r>
      <w:r>
        <w:rPr>
          <w:rFonts w:hint="eastAsia"/>
        </w:rPr>
        <w:t>The skin condition of the actual focus after the placement of the surgical position.</w:t>
      </w:r>
    </w:p>
    <w:p>
      <w:pPr>
        <w:rPr>
          <w:rFonts w:eastAsia="Times New Roman" w:cs="Times New Roman"/>
        </w:rPr>
      </w:pPr>
      <w:r>
        <w:rPr>
          <w:rFonts w:cs="Times New Roman"/>
          <w:b/>
          <w:bCs/>
        </w:rPr>
        <w:t>3</w:t>
      </w:r>
      <w:r>
        <w:rPr>
          <w:rFonts w:hint="eastAsia"/>
          <w:b/>
          <w:bCs/>
        </w:rPr>
        <w:t>The external force applied during the operation.</w:t>
      </w:r>
      <w:r>
        <w:rPr>
          <w:rFonts w:hint="eastAsia"/>
        </w:rPr>
        <w:t>:During operation, adjust the angle and direction of the operating table and the external force applied by the internal fixed chisel, hammer, pulling and pressing.</w:t>
      </w:r>
    </w:p>
    <w:p>
      <w:pPr>
        <w:rPr>
          <w:rFonts w:eastAsia="Times New Roman" w:cs="Times New Roman"/>
        </w:rPr>
      </w:pPr>
      <w:r>
        <w:rPr>
          <w:rFonts w:cs="Times New Roman"/>
          <w:b/>
          <w:bCs/>
        </w:rPr>
        <w:t>4</w:t>
      </w:r>
      <w:r>
        <w:rPr>
          <w:rFonts w:hint="eastAsia"/>
          <w:b/>
          <w:bCs/>
        </w:rPr>
        <w:t>Special surgical factors</w:t>
      </w:r>
      <w:r>
        <w:rPr>
          <w:rFonts w:hint="eastAsia"/>
        </w:rPr>
        <w:t>. According to the type of operation and the incidence of acute pressure sore, the relationship between anesthesia method and the position of pressure sore,</w:t>
      </w:r>
      <w:r>
        <w:rPr>
          <w:rFonts w:cs="Times New Roman"/>
        </w:rPr>
        <w:t>3</w:t>
      </w:r>
      <w:r>
        <w:rPr>
          <w:rFonts w:hint="eastAsia"/>
        </w:rPr>
        <w:t>A subjective assessment of facial skin was used as an additional score.</w:t>
      </w:r>
      <w:r>
        <w:rPr>
          <w:rFonts w:cs="Times New Roman"/>
        </w:rPr>
        <w:t>60~70mmHg</w:t>
      </w:r>
      <w:r>
        <w:rPr>
          <w:rFonts w:hint="eastAsia"/>
        </w:rPr>
        <w:t>, the elderly reduced to</w:t>
      </w:r>
      <w:r>
        <w:rPr>
          <w:rFonts w:cs="Times New Roman"/>
        </w:rPr>
        <w:t>80mmHg</w:t>
      </w:r>
    </w:p>
    <w:p>
      <w:pPr>
        <w:rPr>
          <w:rFonts w:hint="eastAsia"/>
          <w:b/>
          <w:bCs/>
        </w:rPr>
      </w:pPr>
      <w:r>
        <w:rPr>
          <w:rFonts w:cs="Times New Roman"/>
          <w:b/>
          <w:bCs/>
        </w:rPr>
        <w:t>5</w:t>
      </w:r>
      <w:r>
        <w:rPr>
          <w:rFonts w:hint="eastAsia"/>
          <w:b/>
          <w:bCs/>
        </w:rPr>
        <w:t>Cumulative total of entries,</w:t>
      </w:r>
      <w:r>
        <w:rPr>
          <w:rFonts w:cs="Times New Roman"/>
          <w:b/>
          <w:bCs/>
        </w:rPr>
        <w:t>12</w:t>
      </w:r>
      <w:r>
        <w:rPr>
          <w:rFonts w:hint="eastAsia"/>
          <w:b/>
          <w:bCs/>
        </w:rPr>
        <w:t>It is divided into high hazard, ≥.</w:t>
      </w:r>
      <w:r>
        <w:rPr>
          <w:rFonts w:cs="Times New Roman"/>
          <w:b/>
          <w:bCs/>
        </w:rPr>
        <w:t>13</w:t>
      </w:r>
      <w:r>
        <w:rPr>
          <w:rFonts w:hint="eastAsia"/>
          <w:b/>
          <w:bCs/>
        </w:rPr>
        <w:t>Very dangerous.The higher the score, the higher the risk of pressure sore,≥.</w:t>
      </w:r>
      <w:r>
        <w:rPr>
          <w:rFonts w:cs="Times New Roman"/>
          <w:b/>
          <w:bCs/>
        </w:rPr>
        <w:t>13</w:t>
      </w:r>
      <w:r>
        <w:rPr>
          <w:rFonts w:hint="eastAsia"/>
          <w:b/>
          <w:bCs/>
        </w:rPr>
        <w:t>The corresponding nursing measures must be taken.</w:t>
      </w:r>
    </w:p>
    <w:p>
      <w:pPr>
        <w:rPr>
          <w:rFonts w:hint="eastAsia"/>
          <w:b/>
          <w:bCs/>
        </w:rPr>
      </w:pPr>
    </w:p>
    <w:p>
      <w:pPr>
        <w:jc w:val="center"/>
        <w:rPr>
          <w:rFonts w:hint="eastAsia" w:cs="Times New Roman"/>
        </w:rPr>
      </w:pPr>
      <w:r>
        <w:rPr>
          <w:rFonts w:hint="eastAsia"/>
          <w:b/>
          <w:bCs/>
          <w:sz w:val="30"/>
          <w:szCs w:val="30"/>
        </w:rPr>
        <w:t>Preventive measures for high risk patients with pressure sore in operating room.</w:t>
      </w:r>
    </w:p>
    <w:tbl>
      <w:tblPr>
        <w:tblStyle w:val="5"/>
        <w:tblW w:w="8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7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823" w:type="dxa"/>
            <w:gridSpan w:val="2"/>
            <w:noWrap w:val="0"/>
            <w:vAlign w:val="top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Intraoperative nursing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Reduce shear and friction forces.</w:t>
            </w:r>
          </w:p>
        </w:tc>
        <w:tc>
          <w:tcPr>
            <w:tcW w:w="7862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The sheets are flat and wrinkle - free.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Position pad and skin smooth, no wrinkle, no skin extrusion.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To control the frequency and angle of the shaker during operation.</w:t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hint="eastAsia"/>
              </w:rPr>
              <w:t>The restraint band is soft, smooth and tight.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Use of pressure relief appliances.</w:t>
            </w:r>
          </w:p>
        </w:tc>
        <w:tc>
          <w:tcPr>
            <w:tcW w:w="7862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Absorb skin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Position pads</w:t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hint="eastAsia"/>
              </w:rPr>
              <w:t>Where conditions permit, separation.</w:t>
            </w:r>
            <w:r>
              <w:rPr>
                <w:rFonts w:cs="Times New Roman"/>
              </w:rPr>
              <w:t>1h</w:t>
            </w:r>
            <w:r>
              <w:rPr>
                <w:rFonts w:hint="eastAsia"/>
              </w:rPr>
              <w:t>Lightly lift the compression part to relieve local pressure.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Skin Care</w:t>
            </w:r>
          </w:p>
        </w:tc>
        <w:tc>
          <w:tcPr>
            <w:tcW w:w="7862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Warmer: WarmerCover coverConstant liquid temperatureIn front of the shop、Adjust the room temperature after the surgical suture.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Prevent disinfectant from soaking the skin outside the disinfection area.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Keep the surgical napkin dry and flat.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Protection of the cornea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Orbital, auricle free from pressure.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961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Posture observation and nursing.</w:t>
            </w:r>
          </w:p>
        </w:tc>
        <w:tc>
          <w:tcPr>
            <w:tcW w:w="7862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Secure fixation</w:t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hint="eastAsia"/>
              </w:rPr>
              <w:t>Avoid body displacement after shaking the bed during operation.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Stabilize the position, stretch the limbs and support the joint with cushion.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Limb function position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The limbs have no contact with metal.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There is no pressure on the electrode lines of each pipeline.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Other</w:t>
            </w: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7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522" w:type="dxa"/>
            <w:gridSpan w:val="2"/>
            <w:noWrap w:val="0"/>
            <w:vAlign w:val="top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Postoperative nursing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83" w:type="dxa"/>
            <w:vMerge w:val="restart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Check skin</w:t>
            </w:r>
          </w:p>
        </w:tc>
        <w:tc>
          <w:tcPr>
            <w:tcW w:w="7439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In good condition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  <w:vMerge w:val="continue"/>
            <w:noWrap w:val="0"/>
            <w:vAlign w:val="top"/>
          </w:tcPr>
          <w:p>
            <w:pPr>
              <w:rPr>
                <w:rFonts w:cs="Times New Roman"/>
              </w:rPr>
            </w:pPr>
          </w:p>
        </w:tc>
        <w:tc>
          <w:tcPr>
            <w:tcW w:w="7439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Pressure sore:Part IPhase IIIII.IVNot installableDeep tissue damage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Position: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083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Post-operative handover</w:t>
            </w:r>
          </w:p>
        </w:tc>
        <w:tc>
          <w:tcPr>
            <w:tcW w:w="7439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Key handover with ward nurse.</w:t>
            </w:r>
            <w:r>
              <w:rPr>
                <w:rFonts w:cs="Times New Roman"/>
              </w:rPr>
              <w:t>,</w:t>
            </w:r>
            <w:r>
              <w:rPr>
                <w:rFonts w:hint="eastAsia"/>
              </w:rPr>
              <w:t>Remind nursing staff to take targeted pressure sore precautions.</w:t>
            </w:r>
            <w:r>
              <w:rPr>
                <w:rFonts w:cs="Times New Roman"/>
              </w:rPr>
              <w:t>,</w:t>
            </w:r>
            <w:r>
              <w:rPr>
                <w:rFonts w:hint="eastAsia"/>
              </w:rPr>
              <w:t>Prevent postoperative pressure sore or development.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083" w:type="dxa"/>
            <w:noWrap w:val="0"/>
            <w:vAlign w:val="top"/>
          </w:tcPr>
          <w:p>
            <w:pPr>
              <w:rPr>
                <w:rFonts w:eastAsia="Times New Roman" w:cs="Times New Roman"/>
              </w:rPr>
            </w:pPr>
            <w:r>
              <w:rPr>
                <w:rFonts w:hint="eastAsia"/>
              </w:rPr>
              <w:t>Cause analysis</w:t>
            </w:r>
          </w:p>
        </w:tc>
        <w:tc>
          <w:tcPr>
            <w:tcW w:w="7439" w:type="dxa"/>
            <w:noWrap w:val="0"/>
            <w:vAlign w:val="top"/>
          </w:tcPr>
          <w:p>
            <w:pPr>
              <w:rPr>
                <w:rFonts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1083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Rectification measures</w:t>
            </w:r>
          </w:p>
        </w:tc>
        <w:tc>
          <w:tcPr>
            <w:tcW w:w="7439" w:type="dxa"/>
            <w:noWrap w:val="0"/>
            <w:vAlign w:val="top"/>
          </w:tcPr>
          <w:p>
            <w:pPr>
              <w:rPr>
                <w:rFonts w:eastAsia="Times New Roman" w:cs="Times New Roman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A1AFED"/>
    <w:multiLevelType w:val="multilevel"/>
    <w:tmpl w:val="E5A1A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16"/>
    <w:rsid w:val="00001E30"/>
    <w:rsid w:val="00014907"/>
    <w:rsid w:val="000270B9"/>
    <w:rsid w:val="000558DC"/>
    <w:rsid w:val="000722E6"/>
    <w:rsid w:val="000C42FC"/>
    <w:rsid w:val="000C4BE2"/>
    <w:rsid w:val="000D6D43"/>
    <w:rsid w:val="0011603F"/>
    <w:rsid w:val="0014335D"/>
    <w:rsid w:val="001800B4"/>
    <w:rsid w:val="0018309A"/>
    <w:rsid w:val="001A5E12"/>
    <w:rsid w:val="001D0985"/>
    <w:rsid w:val="001E6274"/>
    <w:rsid w:val="00225D7E"/>
    <w:rsid w:val="002566FA"/>
    <w:rsid w:val="002E355F"/>
    <w:rsid w:val="00373AE8"/>
    <w:rsid w:val="003839DA"/>
    <w:rsid w:val="003A5DCB"/>
    <w:rsid w:val="003B6A02"/>
    <w:rsid w:val="003F314F"/>
    <w:rsid w:val="004020DB"/>
    <w:rsid w:val="00431E45"/>
    <w:rsid w:val="00457579"/>
    <w:rsid w:val="00476A32"/>
    <w:rsid w:val="004D2D05"/>
    <w:rsid w:val="004E5092"/>
    <w:rsid w:val="004F4E8C"/>
    <w:rsid w:val="00567D5D"/>
    <w:rsid w:val="00585F93"/>
    <w:rsid w:val="005D091D"/>
    <w:rsid w:val="005E7349"/>
    <w:rsid w:val="005F1413"/>
    <w:rsid w:val="006116FE"/>
    <w:rsid w:val="00652310"/>
    <w:rsid w:val="0070648C"/>
    <w:rsid w:val="00721C10"/>
    <w:rsid w:val="00753840"/>
    <w:rsid w:val="00761213"/>
    <w:rsid w:val="00785B4C"/>
    <w:rsid w:val="007F73AE"/>
    <w:rsid w:val="00823B16"/>
    <w:rsid w:val="0082466A"/>
    <w:rsid w:val="00842548"/>
    <w:rsid w:val="008461C9"/>
    <w:rsid w:val="008B6E40"/>
    <w:rsid w:val="008F447E"/>
    <w:rsid w:val="00934B05"/>
    <w:rsid w:val="0094643D"/>
    <w:rsid w:val="00961A51"/>
    <w:rsid w:val="009643A2"/>
    <w:rsid w:val="009726FE"/>
    <w:rsid w:val="009A6CD0"/>
    <w:rsid w:val="009D592F"/>
    <w:rsid w:val="00B34AA3"/>
    <w:rsid w:val="00B370BD"/>
    <w:rsid w:val="00BB2D52"/>
    <w:rsid w:val="00BF0A6D"/>
    <w:rsid w:val="00BF4F6F"/>
    <w:rsid w:val="00C53421"/>
    <w:rsid w:val="00C81F05"/>
    <w:rsid w:val="00CB0D34"/>
    <w:rsid w:val="00CB6510"/>
    <w:rsid w:val="00CB6748"/>
    <w:rsid w:val="00CC47F2"/>
    <w:rsid w:val="00D04C5C"/>
    <w:rsid w:val="00D4668E"/>
    <w:rsid w:val="00D70A92"/>
    <w:rsid w:val="00D75EA6"/>
    <w:rsid w:val="00D7675A"/>
    <w:rsid w:val="00D814DA"/>
    <w:rsid w:val="00DE001B"/>
    <w:rsid w:val="00E0265C"/>
    <w:rsid w:val="00E059EB"/>
    <w:rsid w:val="00E32C24"/>
    <w:rsid w:val="00E33844"/>
    <w:rsid w:val="00E63442"/>
    <w:rsid w:val="00E70EE8"/>
    <w:rsid w:val="00E961AD"/>
    <w:rsid w:val="00F377E7"/>
    <w:rsid w:val="00F70FEA"/>
    <w:rsid w:val="00F72E4D"/>
    <w:rsid w:val="00F8418E"/>
    <w:rsid w:val="00F93300"/>
    <w:rsid w:val="00FE135F"/>
    <w:rsid w:val="00FE7EEE"/>
    <w:rsid w:val="00FF522F"/>
    <w:rsid w:val="35C02B5C"/>
    <w:rsid w:val="655316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195</Words>
  <Characters>1113</Characters>
  <Lines>9</Lines>
  <Paragraphs>2</Paragraphs>
  <TotalTime>4</TotalTime>
  <ScaleCrop>false</ScaleCrop>
  <LinksUpToDate>false</LinksUpToDate>
  <CharactersWithSpaces>1306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2013-08-03T08:25:00Z</dcterms:created>
  <dc:creator>Administrator</dc:creator>
  <cp:lastModifiedBy>丁立</cp:lastModifiedBy>
  <dcterms:modified xsi:type="dcterms:W3CDTF">2019-09-21T09:59:40Z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