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ESPECIFICACIÓN · 2026</w:t>
      </w:r>
    </w:p>
    <w:p>
      <w:pPr>
        <w:pStyle w:val="Title"/>
      </w:pPr>
      <w:r>
        <w:t>AulaGestión</w:t>
      </w:r>
    </w:p>
    <w:p>
      <w:pPr>
        <w:pStyle w:val="Subtitle"/>
      </w:pPr>
      <w:r>
        <w:t>Visión, alcance y decisiones para iniciar el desarrollo con Claude Code</w:t>
      </w:r>
    </w:p>
    <w:p>
      <w:pPr>
        <w:pStyle w:val="SmallNote"/>
      </w:pPr>
      <w:r>
        <w:t>Versión 1.0  ·  30 de octubre de 2026  ·  Mercado: Costa Rica</w:t>
      </w:r>
    </w:p>
    <w:p>
      <w:pPr>
        <w:pStyle w:val="SmallNote"/>
      </w:pPr>
      <w:r>
        <w:t>Estado: base de planificación; toda decisión marcada “pendiente” requiere validación antes de producción.</w:t>
      </w:r>
    </w:p>
    <w:p>
      <w:pPr>
        <w:pStyle w:val="Heading1"/>
      </w:pPr>
      <w:r>
        <w:t>Resumen ejecutivo</w:t>
      </w:r>
    </w:p>
    <w:p>
      <w:r>
        <w:t>AulaGestión es una plataforma web SaaS para profesores individuales de Costa Rica que necesitan organizar grupos, estudiantes, materias, horarios, asistencias, evaluaciones, rúbricas, calificaciones, estadísticas y reportes PDF desde una cuenta personal. Tendrá plan únicamente mensual, inicio de sesión con Google o Microsoft y acceso desde PC, tableta y celular. Desde el MVP deberá incluir medidas fuertes de seguridad, Remote Config gestionado en servidor e interfaz bilingüe español (es-CR) / inglés (en).</w:t>
      </w:r>
    </w:p>
    <w:p>
      <w:pPr>
        <w:pStyle w:val="Heading1"/>
      </w:pPr>
      <w:r>
        <w:t>1. Problema que resuelve</w:t>
      </w:r>
    </w:p>
    <w:p>
      <w:pPr>
        <w:pStyle w:val="ListBullet"/>
        <w:spacing w:after="40"/>
        <w:ind w:left="255" w:hanging="113"/>
      </w:pPr>
      <w:r>
        <w:t>Los docentes distribuyen sus registros entre cuadernos, hojas de cálculo y plataformas no integradas.</w:t>
      </w:r>
    </w:p>
    <w:p>
      <w:pPr>
        <w:pStyle w:val="ListBullet"/>
        <w:spacing w:after="40"/>
        <w:ind w:left="255" w:hanging="113"/>
      </w:pPr>
      <w:r>
        <w:t>La carga diaria de asistencia y calificaciones consume tiempo y ocasiona errores.</w:t>
      </w:r>
    </w:p>
    <w:p>
      <w:pPr>
        <w:pStyle w:val="ListBullet"/>
        <w:spacing w:after="40"/>
        <w:ind w:left="255" w:hanging="113"/>
      </w:pPr>
      <w:r>
        <w:t>Los criterios de evaluación cambian según nivel y modalidad; no sirve imponer una sola fórmula.</w:t>
      </w:r>
    </w:p>
    <w:p>
      <w:pPr>
        <w:pStyle w:val="ListBullet"/>
        <w:spacing w:after="40"/>
        <w:ind w:left="255" w:hanging="113"/>
      </w:pPr>
      <w:r>
        <w:t>Producir estadísticas y reportes individuales o grupales exige trabajo manual.</w:t>
      </w:r>
    </w:p>
    <w:p>
      <w:pPr>
        <w:pStyle w:val="Heading1"/>
      </w:pPr>
      <w:r>
        <w:t>2. Público y propuesta de valor</w:t>
      </w:r>
    </w:p>
    <w:p>
      <w:r>
        <w:t>Cliente que paga: el profesor individual, no una institución. Los estudiantes serán registros administrados por el docente, sin acceso propio en el MVP. Se atenderán todos los niveles educativos mediante una arquitectura flexible, pero únicamente se declararán «plantillas oficiales» los perfiles MEP que hayan sido revisados y validados de forma específica.</w:t>
      </w:r>
    </w:p>
    <w:p>
      <w:r>
        <w:t>Propuesta: «Toda la gestión académica de tus clases en un solo lugar: registro rápido, evaluaciones flexibles, análisis claro y reportes listos para compartir».</w:t>
      </w:r>
    </w:p>
    <w:p>
      <w:pPr>
        <w:pStyle w:val="Heading1"/>
      </w:pPr>
      <w:r>
        <w:t>3. Decisiones cerradas para el MVP</w:t>
      </w:r>
    </w:p>
    <w:tbl>
      <w:tblPr>
        <w:tblStyle w:val="TableGrid"/>
        <w:tblW w:type="auto" w:w="0"/>
        <w:jc w:val="center"/>
        <w:tblLayout w:type="fixed"/>
        <w:tblLook w:firstColumn="1" w:firstRow="1" w:lastColumn="0" w:lastRow="0" w:noHBand="0" w:noVBand="1" w:val="04A0"/>
      </w:tblPr>
      <w:tblGrid>
        <w:gridCol w:w="2381"/>
        <w:gridCol w:w="6860"/>
      </w:tblGrid>
      <w:tr>
        <w:trPr>
          <w:tblHeader w:val="true"/>
        </w:trPr>
        <w:tc>
          <w:tcPr>
            <w:tcW w:type="dxa" w:w="4901"/>
            <w:shd w:fill="153352"/>
            <w:tcMar>
              <w:top w:w="70" w:type="dxa"/>
              <w:start w:w="90" w:type="dxa"/>
              <w:bottom w:w="70" w:type="dxa"/>
              <w:end w:w="90" w:type="dxa"/>
            </w:tcMar>
          </w:tcPr>
          <w:p>
            <w:r>
              <w:rPr>
                <w:b/>
                <w:color w:val="FFFFFF"/>
                <w:sz w:val="16"/>
              </w:rPr>
              <w:t>Aspecto</w:t>
            </w:r>
          </w:p>
        </w:tc>
        <w:tc>
          <w:tcPr>
            <w:tcW w:type="dxa" w:w="4901"/>
            <w:shd w:fill="153352"/>
            <w:tcMar>
              <w:top w:w="70" w:type="dxa"/>
              <w:start w:w="90" w:type="dxa"/>
              <w:bottom w:w="70" w:type="dxa"/>
              <w:end w:w="90" w:type="dxa"/>
            </w:tcMar>
          </w:tcPr>
          <w:p>
            <w:r>
              <w:rPr>
                <w:b/>
                <w:color w:val="FFFFFF"/>
                <w:sz w:val="16"/>
              </w:rPr>
              <w:t>Decisión</w:t>
            </w:r>
          </w:p>
        </w:tc>
      </w:tr>
      <w:tr>
        <w:tc>
          <w:tcPr>
            <w:tcW w:type="dxa" w:w="2381"/>
            <w:vAlign w:val="center"/>
            <w:tcMar>
              <w:top w:w="70" w:type="dxa"/>
              <w:start w:w="90" w:type="dxa"/>
              <w:bottom w:w="70" w:type="dxa"/>
              <w:end w:w="90" w:type="dxa"/>
            </w:tcMar>
          </w:tcPr>
          <w:p>
            <w:pPr>
              <w:spacing w:after="0"/>
            </w:pPr>
            <w:r>
              <w:rPr>
                <w:sz w:val="16"/>
              </w:rPr>
              <w:t>Mercado</w:t>
            </w:r>
          </w:p>
        </w:tc>
        <w:tc>
          <w:tcPr>
            <w:tcW w:type="dxa" w:w="6860"/>
            <w:vAlign w:val="center"/>
            <w:tcMar>
              <w:top w:w="70" w:type="dxa"/>
              <w:start w:w="90" w:type="dxa"/>
              <w:bottom w:w="70" w:type="dxa"/>
              <w:end w:w="90" w:type="dxa"/>
            </w:tcMar>
          </w:tcPr>
          <w:p>
            <w:pPr>
              <w:spacing w:after="0"/>
            </w:pPr>
            <w:r>
              <w:rPr>
                <w:sz w:val="16"/>
              </w:rPr>
              <w:t>Costa Rica; configuración local por defecto es-CR, zona America/Costa_Rica.</w:t>
            </w:r>
          </w:p>
        </w:tc>
      </w:tr>
      <w:tr>
        <w:tc>
          <w:tcPr>
            <w:tcW w:type="dxa" w:w="2381"/>
            <w:vAlign w:val="center"/>
            <w:tcMar>
              <w:top w:w="70" w:type="dxa"/>
              <w:start w:w="90" w:type="dxa"/>
              <w:bottom w:w="70" w:type="dxa"/>
              <w:end w:w="90" w:type="dxa"/>
            </w:tcMar>
            <w:shd w:fill="F2F6FA"/>
          </w:tcPr>
          <w:p>
            <w:pPr>
              <w:spacing w:after="0"/>
            </w:pPr>
            <w:r>
              <w:rPr>
                <w:sz w:val="16"/>
              </w:rPr>
              <w:t>Cuentas</w:t>
            </w:r>
          </w:p>
        </w:tc>
        <w:tc>
          <w:tcPr>
            <w:tcW w:type="dxa" w:w="6860"/>
            <w:vAlign w:val="center"/>
            <w:tcMar>
              <w:top w:w="70" w:type="dxa"/>
              <w:start w:w="90" w:type="dxa"/>
              <w:bottom w:w="70" w:type="dxa"/>
              <w:end w:w="90" w:type="dxa"/>
            </w:tcMar>
            <w:shd w:fill="F2F6FA"/>
          </w:tcPr>
          <w:p>
            <w:pPr>
              <w:spacing w:after="0"/>
            </w:pPr>
            <w:r>
              <w:rPr>
                <w:sz w:val="16"/>
              </w:rPr>
              <w:t>Profesor individual; sin portal estudiante ni módulo administrativo institucional.</w:t>
            </w:r>
          </w:p>
        </w:tc>
      </w:tr>
      <w:tr>
        <w:tc>
          <w:tcPr>
            <w:tcW w:type="dxa" w:w="2381"/>
            <w:vAlign w:val="center"/>
            <w:tcMar>
              <w:top w:w="70" w:type="dxa"/>
              <w:start w:w="90" w:type="dxa"/>
              <w:bottom w:w="70" w:type="dxa"/>
              <w:end w:w="90" w:type="dxa"/>
            </w:tcMar>
          </w:tcPr>
          <w:p>
            <w:pPr>
              <w:spacing w:after="0"/>
            </w:pPr>
            <w:r>
              <w:rPr>
                <w:sz w:val="16"/>
              </w:rPr>
              <w:t>Ingreso</w:t>
            </w:r>
          </w:p>
        </w:tc>
        <w:tc>
          <w:tcPr>
            <w:tcW w:type="dxa" w:w="6860"/>
            <w:vAlign w:val="center"/>
            <w:tcMar>
              <w:top w:w="70" w:type="dxa"/>
              <w:start w:w="90" w:type="dxa"/>
              <w:bottom w:w="70" w:type="dxa"/>
              <w:end w:w="90" w:type="dxa"/>
            </w:tcMar>
          </w:tcPr>
          <w:p>
            <w:pPr>
              <w:spacing w:after="0"/>
            </w:pPr>
            <w:r>
              <w:rPr>
                <w:sz w:val="16"/>
              </w:rPr>
              <w:t>Google y Microsoft por OIDC. Sin contraseña propia en MVP.</w:t>
            </w:r>
          </w:p>
        </w:tc>
      </w:tr>
      <w:tr>
        <w:tc>
          <w:tcPr>
            <w:tcW w:type="dxa" w:w="2381"/>
            <w:vAlign w:val="center"/>
            <w:tcMar>
              <w:top w:w="70" w:type="dxa"/>
              <w:start w:w="90" w:type="dxa"/>
              <w:bottom w:w="70" w:type="dxa"/>
              <w:end w:w="90" w:type="dxa"/>
            </w:tcMar>
            <w:shd w:fill="F2F6FA"/>
          </w:tcPr>
          <w:p>
            <w:pPr>
              <w:spacing w:after="0"/>
            </w:pPr>
            <w:r>
              <w:rPr>
                <w:sz w:val="16"/>
              </w:rPr>
              <w:t>Cobro</w:t>
            </w:r>
          </w:p>
        </w:tc>
        <w:tc>
          <w:tcPr>
            <w:tcW w:type="dxa" w:w="6860"/>
            <w:vAlign w:val="center"/>
            <w:tcMar>
              <w:top w:w="70" w:type="dxa"/>
              <w:start w:w="90" w:type="dxa"/>
              <w:bottom w:w="70" w:type="dxa"/>
              <w:end w:w="90" w:type="dxa"/>
            </w:tcMar>
            <w:shd w:fill="F2F6FA"/>
          </w:tcPr>
          <w:p>
            <w:pPr>
              <w:spacing w:after="0"/>
            </w:pPr>
            <w:r>
              <w:rPr>
                <w:sz w:val="16"/>
              </w:rPr>
              <w:t>Suscripción mensual recurrente. Sin plan anual en el lanzamiento.</w:t>
            </w:r>
          </w:p>
        </w:tc>
      </w:tr>
      <w:tr>
        <w:tc>
          <w:tcPr>
            <w:tcW w:type="dxa" w:w="2381"/>
            <w:vAlign w:val="center"/>
            <w:tcMar>
              <w:top w:w="70" w:type="dxa"/>
              <w:start w:w="90" w:type="dxa"/>
              <w:bottom w:w="70" w:type="dxa"/>
              <w:end w:w="90" w:type="dxa"/>
            </w:tcMar>
          </w:tcPr>
          <w:p>
            <w:pPr>
              <w:spacing w:after="0"/>
            </w:pPr>
            <w:r>
              <w:rPr>
                <w:sz w:val="16"/>
              </w:rPr>
              <w:t>Dispositivos</w:t>
            </w:r>
          </w:p>
        </w:tc>
        <w:tc>
          <w:tcPr>
            <w:tcW w:type="dxa" w:w="6860"/>
            <w:vAlign w:val="center"/>
            <w:tcMar>
              <w:top w:w="70" w:type="dxa"/>
              <w:start w:w="90" w:type="dxa"/>
              <w:bottom w:w="70" w:type="dxa"/>
              <w:end w:w="90" w:type="dxa"/>
            </w:tcMar>
          </w:tcPr>
          <w:p>
            <w:pPr>
              <w:spacing w:after="0"/>
            </w:pPr>
            <w:r>
              <w:rPr>
                <w:sz w:val="16"/>
              </w:rPr>
              <w:t>Web responsive en celular, tableta y computadora; PWA instalable como mejora futura.</w:t>
            </w:r>
          </w:p>
        </w:tc>
      </w:tr>
      <w:tr>
        <w:tc>
          <w:tcPr>
            <w:tcW w:type="dxa" w:w="2381"/>
            <w:vAlign w:val="center"/>
            <w:tcMar>
              <w:top w:w="70" w:type="dxa"/>
              <w:start w:w="90" w:type="dxa"/>
              <w:bottom w:w="70" w:type="dxa"/>
              <w:end w:w="90" w:type="dxa"/>
            </w:tcMar>
            <w:shd w:fill="F2F6FA"/>
          </w:tcPr>
          <w:p>
            <w:pPr>
              <w:spacing w:after="0"/>
            </w:pPr>
            <w:r>
              <w:rPr>
                <w:sz w:val="16"/>
              </w:rPr>
              <w:t>Idiomas</w:t>
            </w:r>
          </w:p>
        </w:tc>
        <w:tc>
          <w:tcPr>
            <w:tcW w:type="dxa" w:w="6860"/>
            <w:vAlign w:val="center"/>
            <w:tcMar>
              <w:top w:w="70" w:type="dxa"/>
              <w:start w:w="90" w:type="dxa"/>
              <w:bottom w:w="70" w:type="dxa"/>
              <w:end w:w="90" w:type="dxa"/>
            </w:tcMar>
            <w:shd w:fill="F2F6FA"/>
          </w:tcPr>
          <w:p>
            <w:pPr>
              <w:spacing w:after="0"/>
            </w:pPr>
            <w:r>
              <w:rPr>
                <w:sz w:val="16"/>
              </w:rPr>
              <w:t>es-CR e inglés en desde el primer lanzamiento; selección persistente.</w:t>
            </w:r>
          </w:p>
        </w:tc>
      </w:tr>
      <w:tr>
        <w:tc>
          <w:tcPr>
            <w:tcW w:type="dxa" w:w="2381"/>
            <w:vAlign w:val="center"/>
            <w:tcMar>
              <w:top w:w="70" w:type="dxa"/>
              <w:start w:w="90" w:type="dxa"/>
              <w:bottom w:w="70" w:type="dxa"/>
              <w:end w:w="90" w:type="dxa"/>
            </w:tcMar>
          </w:tcPr>
          <w:p>
            <w:pPr>
              <w:spacing w:after="0"/>
            </w:pPr>
            <w:r>
              <w:rPr>
                <w:sz w:val="16"/>
              </w:rPr>
              <w:t>Remote Config</w:t>
            </w:r>
          </w:p>
        </w:tc>
        <w:tc>
          <w:tcPr>
            <w:tcW w:type="dxa" w:w="6860"/>
            <w:vAlign w:val="center"/>
            <w:tcMar>
              <w:top w:w="70" w:type="dxa"/>
              <w:start w:w="90" w:type="dxa"/>
              <w:bottom w:w="70" w:type="dxa"/>
              <w:end w:w="90" w:type="dxa"/>
            </w:tcMar>
          </w:tcPr>
          <w:p>
            <w:pPr>
              <w:spacing w:after="0"/>
            </w:pPr>
            <w:r>
              <w:rPr>
                <w:sz w:val="16"/>
              </w:rPr>
              <w:t>Versionado, auditado, con fallback; para ajustes operativos, flags, copy y catálogos.</w:t>
            </w:r>
          </w:p>
        </w:tc>
      </w:tr>
      <w:tr>
        <w:tc>
          <w:tcPr>
            <w:tcW w:type="dxa" w:w="2381"/>
            <w:vAlign w:val="center"/>
            <w:tcMar>
              <w:top w:w="70" w:type="dxa"/>
              <w:start w:w="90" w:type="dxa"/>
              <w:bottom w:w="70" w:type="dxa"/>
              <w:end w:w="90" w:type="dxa"/>
            </w:tcMar>
            <w:shd w:fill="F2F6FA"/>
          </w:tcPr>
          <w:p>
            <w:pPr>
              <w:spacing w:after="0"/>
            </w:pPr>
            <w:r>
              <w:rPr>
                <w:sz w:val="16"/>
              </w:rPr>
              <w:t>Seguridad</w:t>
            </w:r>
          </w:p>
        </w:tc>
        <w:tc>
          <w:tcPr>
            <w:tcW w:type="dxa" w:w="6860"/>
            <w:vAlign w:val="center"/>
            <w:tcMar>
              <w:top w:w="70" w:type="dxa"/>
              <w:start w:w="90" w:type="dxa"/>
              <w:bottom w:w="70" w:type="dxa"/>
              <w:end w:w="90" w:type="dxa"/>
            </w:tcMar>
            <w:shd w:fill="F2F6FA"/>
          </w:tcPr>
          <w:p>
            <w:pPr>
              <w:spacing w:after="0"/>
            </w:pPr>
            <w:r>
              <w:rPr>
                <w:sz w:val="16"/>
              </w:rPr>
              <w:t>Diseño de confianza cero entre clientes; validación y autorización en servidor.</w:t>
            </w:r>
          </w:p>
        </w:tc>
      </w:tr>
      <w:tr>
        <w:tc>
          <w:tcPr>
            <w:tcW w:type="dxa" w:w="2381"/>
            <w:vAlign w:val="center"/>
            <w:tcMar>
              <w:top w:w="70" w:type="dxa"/>
              <w:start w:w="90" w:type="dxa"/>
              <w:bottom w:w="70" w:type="dxa"/>
              <w:end w:w="90" w:type="dxa"/>
            </w:tcMar>
          </w:tcPr>
          <w:p>
            <w:pPr>
              <w:spacing w:after="0"/>
            </w:pPr>
            <w:r>
              <w:rPr>
                <w:sz w:val="16"/>
              </w:rPr>
              <w:t>Evaluación</w:t>
            </w:r>
          </w:p>
        </w:tc>
        <w:tc>
          <w:tcPr>
            <w:tcW w:type="dxa" w:w="6860"/>
            <w:vAlign w:val="center"/>
            <w:tcMar>
              <w:top w:w="70" w:type="dxa"/>
              <w:start w:w="90" w:type="dxa"/>
              <w:bottom w:w="70" w:type="dxa"/>
              <w:end w:w="90" w:type="dxa"/>
            </w:tcMar>
          </w:tcPr>
          <w:p>
            <w:pPr>
              <w:spacing w:after="0"/>
            </w:pPr>
            <w:r>
              <w:rPr>
                <w:sz w:val="16"/>
              </w:rPr>
              <w:t>Perfiles MEP versionados donde estén validados + modo configurable claramente no oficial.</w:t>
            </w:r>
          </w:p>
        </w:tc>
      </w:tr>
      <w:tr>
        <w:tc>
          <w:tcPr>
            <w:tcW w:type="dxa" w:w="2381"/>
            <w:vAlign w:val="center"/>
            <w:tcMar>
              <w:top w:w="70" w:type="dxa"/>
              <w:start w:w="90" w:type="dxa"/>
              <w:bottom w:w="70" w:type="dxa"/>
              <w:end w:w="90" w:type="dxa"/>
            </w:tcMar>
            <w:shd w:fill="F2F6FA"/>
          </w:tcPr>
          <w:p>
            <w:pPr>
              <w:spacing w:after="0"/>
            </w:pPr>
            <w:r>
              <w:rPr>
                <w:sz w:val="16"/>
              </w:rPr>
              <w:t>Reportes</w:t>
            </w:r>
          </w:p>
        </w:tc>
        <w:tc>
          <w:tcPr>
            <w:tcW w:type="dxa" w:w="6860"/>
            <w:vAlign w:val="center"/>
            <w:tcMar>
              <w:top w:w="70" w:type="dxa"/>
              <w:start w:w="90" w:type="dxa"/>
              <w:bottom w:w="70" w:type="dxa"/>
              <w:end w:w="90" w:type="dxa"/>
            </w:tcMar>
            <w:shd w:fill="F2F6FA"/>
          </w:tcPr>
          <w:p>
            <w:pPr>
              <w:spacing w:after="0"/>
            </w:pPr>
            <w:r>
              <w:rPr>
                <w:sz w:val="16"/>
              </w:rPr>
              <w:t>PDF individual, grupal y cualitativo; acceso privado temporal.</w:t>
            </w:r>
          </w:p>
        </w:tc>
      </w:tr>
      <w:tr>
        <w:tc>
          <w:tcPr>
            <w:tcW w:type="dxa" w:w="2381"/>
            <w:vAlign w:val="center"/>
            <w:tcMar>
              <w:top w:w="70" w:type="dxa"/>
              <w:start w:w="90" w:type="dxa"/>
              <w:bottom w:w="70" w:type="dxa"/>
              <w:end w:w="90" w:type="dxa"/>
            </w:tcMar>
          </w:tcPr>
          <w:p>
            <w:pPr>
              <w:spacing w:after="0"/>
            </w:pPr>
            <w:r>
              <w:rPr>
                <w:sz w:val="16"/>
              </w:rPr>
              <w:t>Precio</w:t>
            </w:r>
          </w:p>
        </w:tc>
        <w:tc>
          <w:tcPr>
            <w:tcW w:type="dxa" w:w="6860"/>
            <w:vAlign w:val="center"/>
            <w:tcMar>
              <w:top w:w="70" w:type="dxa"/>
              <w:start w:w="90" w:type="dxa"/>
              <w:bottom w:w="70" w:type="dxa"/>
              <w:end w:w="90" w:type="dxa"/>
            </w:tcMar>
          </w:tcPr>
          <w:p>
            <w:pPr>
              <w:spacing w:after="0"/>
            </w:pPr>
            <w:r>
              <w:rPr>
                <w:sz w:val="16"/>
              </w:rPr>
              <w:t>Por decidir tras validación comercial y de pasarela local.</w:t>
            </w:r>
          </w:p>
        </w:tc>
      </w:tr>
      <w:tr>
        <w:tc>
          <w:tcPr>
            <w:tcW w:type="dxa" w:w="2381"/>
            <w:vAlign w:val="center"/>
            <w:tcMar>
              <w:top w:w="70" w:type="dxa"/>
              <w:start w:w="90" w:type="dxa"/>
              <w:bottom w:w="70" w:type="dxa"/>
              <w:end w:w="90" w:type="dxa"/>
            </w:tcMar>
            <w:shd w:fill="F2F6FA"/>
          </w:tcPr>
          <w:p>
            <w:pPr>
              <w:spacing w:after="0"/>
            </w:pPr>
            <w:r>
              <w:rPr>
                <w:sz w:val="16"/>
              </w:rPr>
              <w:t>Infraestructura</w:t>
            </w:r>
          </w:p>
        </w:tc>
        <w:tc>
          <w:tcPr>
            <w:tcW w:type="dxa" w:w="6860"/>
            <w:vAlign w:val="center"/>
            <w:tcMar>
              <w:top w:w="70" w:type="dxa"/>
              <w:start w:w="90" w:type="dxa"/>
              <w:bottom w:w="70" w:type="dxa"/>
              <w:end w:w="90" w:type="dxa"/>
            </w:tcMar>
            <w:shd w:fill="F2F6FA"/>
          </w:tcPr>
          <w:p>
            <w:pPr>
              <w:spacing w:after="0"/>
            </w:pPr>
            <w:r>
              <w:rPr>
                <w:sz w:val="16"/>
              </w:rPr>
              <w:t>Stack propuesto: Next.js, TypeScript, PostgreSQL, backend seguro y almacenamiento privado.</w:t>
            </w:r>
          </w:p>
        </w:tc>
      </w:tr>
    </w:tbl>
    <w:p>
      <w:pPr>
        <w:pStyle w:val="Heading1"/>
      </w:pPr>
      <w:r>
        <w:t>4. Funciones y navegación</w:t>
      </w:r>
    </w:p>
    <w:p>
      <w:pPr>
        <w:pStyle w:val="Heading2"/>
      </w:pPr>
      <w:r>
        <w:t>Públicas</w:t>
      </w:r>
    </w:p>
    <w:p>
      <w:r>
        <w:t>Landing  ·  Beneficios  ·  Precios  ·  Términos y privacidad  ·  Registro / inicio OIDC</w:t>
      </w:r>
    </w:p>
    <w:p>
      <w:pPr>
        <w:pStyle w:val="Heading2"/>
      </w:pPr>
      <w:r>
        <w:t>Cuenta</w:t>
      </w:r>
    </w:p>
    <w:p>
      <w:r>
        <w:t>Onboarding  ·  Mi perfil  ·  Idioma  ·  Suscripción y pagos</w:t>
      </w:r>
    </w:p>
    <w:p>
      <w:pPr>
        <w:pStyle w:val="Heading2"/>
      </w:pPr>
      <w:r>
        <w:t>Académico</w:t>
      </w:r>
    </w:p>
    <w:p>
      <w:r>
        <w:t>Dashboard  ·  Años y períodos  ·  Grupos  ·  Detalle de grupo  ·  Materias  ·  Estudiantes  ·  Ficha estudiante</w:t>
      </w:r>
    </w:p>
    <w:p>
      <w:pPr>
        <w:pStyle w:val="Heading2"/>
      </w:pPr>
      <w:r>
        <w:t>Diario</w:t>
      </w:r>
    </w:p>
    <w:p>
      <w:r>
        <w:t>Horario  ·  Sesión  ·  Pasar lista  ·  Historial de asistencia</w:t>
      </w:r>
    </w:p>
    <w:p>
      <w:pPr>
        <w:pStyle w:val="Heading2"/>
      </w:pPr>
      <w:r>
        <w:t>Evaluación</w:t>
      </w:r>
    </w:p>
    <w:p>
      <w:r>
        <w:t>Perfiles  ·  Esquemas  ·  Rúbricas  ·  Editor de rúbrica  ·  Evaluaciones  ·  Cuaderno de notas  ·  Registro cualitativo</w:t>
      </w:r>
    </w:p>
    <w:p>
      <w:pPr>
        <w:pStyle w:val="Heading2"/>
      </w:pPr>
      <w:r>
        <w:t>Análisis</w:t>
      </w:r>
    </w:p>
    <w:p>
      <w:r>
        <w:t>Estadísticas alumno  ·  Estadísticas grupo  ·  Reportes  ·  Vista previa PDF</w:t>
      </w:r>
    </w:p>
    <w:p>
      <w:pPr>
        <w:pStyle w:val="Heading2"/>
      </w:pPr>
      <w:r>
        <w:t>Internas</w:t>
      </w:r>
    </w:p>
    <w:p>
      <w:r>
        <w:t>Remote Config: borradores  ·  Remote Config: publicaciones  ·  Operaciones / salud servicio</w:t>
      </w:r>
    </w:p>
    <w:p>
      <w:pPr>
        <w:pStyle w:val="Heading1"/>
      </w:pPr>
      <w:r>
        <w:t>5. Flujos principales</w:t>
      </w:r>
    </w:p>
    <w:p>
      <w:r>
        <w:rPr>
          <w:b/>
        </w:rPr>
        <w:t xml:space="preserve">Alta: </w:t>
      </w:r>
      <w:r>
        <w:t>Landing → Google/Microsoft → perfil → contratación mensual → pago confirmado → onboarding → dashboard.</w:t>
      </w:r>
    </w:p>
    <w:p>
      <w:r>
        <w:rPr>
          <w:b/>
        </w:rPr>
        <w:t xml:space="preserve">Comienzo académico: </w:t>
      </w:r>
      <w:r>
        <w:t>Año lectivo → período → grupo → materia → asignación → estudiantes → horario → perfil de evaluación.</w:t>
      </w:r>
    </w:p>
    <w:p>
      <w:r>
        <w:rPr>
          <w:b/>
        </w:rPr>
        <w:t xml:space="preserve">Asistencia: </w:t>
      </w:r>
      <w:r>
        <w:t>Horario o grupo → crear/abrir sesión → marcar estados → guardar → historial/estadísticas.</w:t>
      </w:r>
    </w:p>
    <w:p>
      <w:r>
        <w:rPr>
          <w:b/>
        </w:rPr>
        <w:t xml:space="preserve">Calificaciones: </w:t>
      </w:r>
      <w:r>
        <w:t>Asignación → esquema/versiones → evaluación → rúbrica → registrar notas → cálculo reproducible.</w:t>
      </w:r>
    </w:p>
    <w:p>
      <w:r>
        <w:rPr>
          <w:b/>
        </w:rPr>
        <w:t xml:space="preserve">Reporte: </w:t>
      </w:r>
      <w:r>
        <w:t>Estudiante o grupo → filtros → previa → trabajo PDF → descarga autorizada y temporal.</w:t>
      </w:r>
    </w:p>
    <w:p>
      <w:pPr>
        <w:pStyle w:val="Heading1"/>
      </w:pPr>
      <w:r>
        <w:t>6. Reglas de negocio no negociables</w:t>
      </w:r>
    </w:p>
    <w:p>
      <w:pPr>
        <w:pStyle w:val="ListBullet"/>
        <w:spacing w:after="40"/>
        <w:ind w:left="255" w:hanging="113"/>
      </w:pPr>
      <w:r>
        <w:t>Autenticación: OIDC Google y Microsoft, no passwords locales en MVP. No fusionar cuentas por correo solamente.</w:t>
      </w:r>
    </w:p>
    <w:p>
      <w:pPr>
        <w:pStyle w:val="ListBullet"/>
        <w:spacing w:after="40"/>
        <w:ind w:left="255" w:hanging="113"/>
      </w:pPr>
      <w:r>
        <w:t>Profesor individual: Un usuario docente controla su espacio; varias materias y grupos; no roles institucionales.</w:t>
      </w:r>
    </w:p>
    <w:p>
      <w:pPr>
        <w:pStyle w:val="ListBullet"/>
        <w:spacing w:after="40"/>
        <w:ind w:left="255" w:hanging="113"/>
      </w:pPr>
      <w:r>
        <w:t>Datos mínimos: Fichas de estudiantes sin requerir cédula, dirección ni datos clínicos.</w:t>
      </w:r>
    </w:p>
    <w:p>
      <w:pPr>
        <w:pStyle w:val="ListBullet"/>
        <w:spacing w:after="40"/>
        <w:ind w:left="255" w:hanging="113"/>
      </w:pPr>
      <w:r>
        <w:t>Año/período: La estructura es flexible; perfiles MEP se aplican solo a combinaciones revisadas.</w:t>
      </w:r>
    </w:p>
    <w:p>
      <w:pPr>
        <w:pStyle w:val="ListBullet"/>
        <w:spacing w:after="40"/>
        <w:ind w:left="255" w:hanging="113"/>
      </w:pPr>
      <w:r>
        <w:t>Evaluación: Perfil inmutable publicado; copias personalizadas se diferencian; notas no dependen de textos UI.</w:t>
      </w:r>
    </w:p>
    <w:p>
      <w:pPr>
        <w:pStyle w:val="ListBullet"/>
        <w:spacing w:after="40"/>
        <w:ind w:left="255" w:hanging="113"/>
      </w:pPr>
      <w:r>
        <w:t>Revisión normativa: Decreto 45509-MEP y lineamientos vigentes deben verificarse antes de liberar perfiles oficiales.</w:t>
      </w:r>
    </w:p>
    <w:p>
      <w:pPr>
        <w:pStyle w:val="ListBullet"/>
        <w:spacing w:after="40"/>
        <w:ind w:left="255" w:hanging="113"/>
      </w:pPr>
      <w:r>
        <w:t>Notas: Pendiente distinto de cero; cálculo decimal, redondeo por perfil; auditoría de cambios.</w:t>
      </w:r>
    </w:p>
    <w:p>
      <w:pPr>
        <w:pStyle w:val="ListBullet"/>
        <w:spacing w:after="40"/>
        <w:ind w:left="255" w:hanging="113"/>
      </w:pPr>
      <w:r>
        <w:t>Asistencia: Clase impartida cuenta; cancelada no; tipo de incidencia separado de justificación.</w:t>
      </w:r>
    </w:p>
    <w:p>
      <w:pPr>
        <w:pStyle w:val="ListBullet"/>
        <w:spacing w:after="40"/>
        <w:ind w:left="255" w:hanging="113"/>
      </w:pPr>
      <w:r>
        <w:t>Reportes: Privados, temporales, autenticados; no acreditan calificación oficial ministerial.</w:t>
      </w:r>
    </w:p>
    <w:p>
      <w:pPr>
        <w:pStyle w:val="ListBullet"/>
        <w:spacing w:after="40"/>
        <w:ind w:left="255" w:hanging="113"/>
      </w:pPr>
      <w:r>
        <w:t>Pago: Solo mensual; activar con confirmación servidor/webhook; estado de solo lectura al vencer.</w:t>
      </w:r>
    </w:p>
    <w:p>
      <w:pPr>
        <w:pStyle w:val="ListBullet"/>
        <w:spacing w:after="40"/>
        <w:ind w:left="255" w:hanging="113"/>
      </w:pPr>
      <w:r>
        <w:t>Remote Config: Solo configuración no secreta; versionada, validada, auditable, fallback y rollback.</w:t>
      </w:r>
    </w:p>
    <w:p>
      <w:pPr>
        <w:pStyle w:val="ListBullet"/>
        <w:spacing w:after="40"/>
        <w:ind w:left="255" w:hanging="113"/>
      </w:pPr>
      <w:r>
        <w:t>Idiomas: es-CR y en al lanzar; preferencia persistente; todas las pantallas y errores traducibles.</w:t>
      </w:r>
    </w:p>
    <w:p>
      <w:pPr>
        <w:pStyle w:val="ListBullet"/>
        <w:spacing w:after="40"/>
        <w:ind w:left="255" w:hanging="113"/>
      </w:pPr>
      <w:r>
        <w:t>Seguridad: Ningún feature flag ni ajuste remoto puede eludir autorización ni RLS.</w:t>
      </w:r>
    </w:p>
    <w:p>
      <w:pPr>
        <w:pStyle w:val="Heading1"/>
      </w:pPr>
      <w:r>
        <w:t>7. Seguridad como condición transversal</w:t>
      </w:r>
    </w:p>
    <w:p>
      <w:r>
        <w:t>Nivel objetivo de verificación: OWASP ASVS 5.0, con controles de una aplicación que trata información personal y académica. Se debe elaborar una matriz de trazabilidad de controles, empezando por autenticación, autorización, control de sesiones, validación, configuración, protección de datos, logging, comunicaciones y seguridad de APIs. El nivel de madurez y cumplimiento requieren pruebas; no se afirmará que el sistema es «100% seguro».</w:t>
      </w:r>
    </w:p>
    <w:p>
      <w:pPr>
        <w:pStyle w:val="ListBullet"/>
        <w:spacing w:after="40"/>
        <w:ind w:left="255" w:hanging="113"/>
      </w:pPr>
      <w:r>
        <w:t>Autenticación OIDC con validación de tokens y sesión protegida; secretos solo en servidor o gestor de secretos.</w:t>
      </w:r>
    </w:p>
    <w:p>
      <w:pPr>
        <w:pStyle w:val="ListBullet"/>
        <w:spacing w:after="40"/>
        <w:ind w:left="255" w:hanging="113"/>
      </w:pPr>
      <w:r>
        <w:t>Aislamiento por teacher_id y autorización de objeto en cada lectura/escritura; políticas RLS como defensa adicional.</w:t>
      </w:r>
    </w:p>
    <w:p>
      <w:pPr>
        <w:pStyle w:val="ListBullet"/>
        <w:spacing w:after="40"/>
        <w:ind w:left="255" w:hanging="113"/>
      </w:pPr>
      <w:r>
        <w:t>CSV y entradas validadas; mitigación de inyección, XSS, CSRF, rate limiting y configuraciones inseguras.</w:t>
      </w:r>
    </w:p>
    <w:p>
      <w:pPr>
        <w:pStyle w:val="ListBullet"/>
        <w:spacing w:after="40"/>
        <w:ind w:left="255" w:hanging="113"/>
      </w:pPr>
      <w:r>
        <w:t>Datos en tránsito por TLS y cifrados en almacenamiento; backups probados y logs sin datos de alumnos.</w:t>
      </w:r>
    </w:p>
    <w:p>
      <w:pPr>
        <w:pStyle w:val="ListBullet"/>
        <w:spacing w:after="40"/>
        <w:ind w:left="255" w:hanging="113"/>
      </w:pPr>
      <w:r>
        <w:t>Auditoría de edición de calificaciones/asistencia, administración remota y facturación.</w:t>
      </w:r>
    </w:p>
    <w:p>
      <w:pPr>
        <w:pStyle w:val="ListBullet"/>
        <w:spacing w:after="40"/>
        <w:ind w:left="255" w:hanging="113"/>
      </w:pPr>
      <w:r>
        <w:t>Controles automáticos en CI; pruebas negativas de acceso cruzado y revisión de seguridad previa a producción.</w:t>
      </w:r>
    </w:p>
    <w:p>
      <w:pPr>
        <w:pStyle w:val="Heading1"/>
      </w:pPr>
      <w:r>
        <w:t>8. Remote Config e internacionalización</w:t>
      </w:r>
    </w:p>
    <w:p>
      <w:r>
        <w:t>Remote Config gestionará parámetros públicos no secretos y controles operativos con esquema, ambiente, revisión, firma/verificación de procedencia según arquitectura, auditoría y rollback. Se debe manejar un catálogo local de respaldo para arranque y pérdida de conectividad. La decisión real de acceso, pago, cálculo de notas y pertenencia a registros siempre corresponde al servidor y a configuraciones académicas versionadas, no al cliente ni a una flag.</w:t>
      </w:r>
    </w:p>
    <w:tbl>
      <w:tblPr>
        <w:tblStyle w:val="TableGrid"/>
        <w:tblW w:type="auto" w:w="0"/>
        <w:jc w:val="center"/>
        <w:tblLayout w:type="fixed"/>
        <w:tblLook w:firstColumn="1" w:firstRow="1" w:lastColumn="0" w:lastRow="0" w:noHBand="0" w:noVBand="1" w:val="04A0"/>
      </w:tblPr>
      <w:tblGrid>
        <w:gridCol w:w="4564"/>
        <w:gridCol w:w="4677"/>
      </w:tblGrid>
      <w:tr>
        <w:trPr>
          <w:tblHeader w:val="true"/>
        </w:trPr>
        <w:tc>
          <w:tcPr>
            <w:tcW w:type="dxa" w:w="4901"/>
            <w:shd w:fill="153352"/>
            <w:tcMar>
              <w:top w:w="70" w:type="dxa"/>
              <w:start w:w="90" w:type="dxa"/>
              <w:bottom w:w="70" w:type="dxa"/>
              <w:end w:w="90" w:type="dxa"/>
            </w:tcMar>
          </w:tcPr>
          <w:p>
            <w:r>
              <w:rPr>
                <w:b/>
                <w:color w:val="FFFFFF"/>
                <w:sz w:val="15"/>
              </w:rPr>
              <w:t>Permite actualización remota</w:t>
            </w:r>
          </w:p>
        </w:tc>
        <w:tc>
          <w:tcPr>
            <w:tcW w:type="dxa" w:w="4901"/>
            <w:shd w:fill="153352"/>
            <w:tcMar>
              <w:top w:w="70" w:type="dxa"/>
              <w:start w:w="90" w:type="dxa"/>
              <w:bottom w:w="70" w:type="dxa"/>
              <w:end w:w="90" w:type="dxa"/>
            </w:tcMar>
          </w:tcPr>
          <w:p>
            <w:r>
              <w:rPr>
                <w:b/>
                <w:color w:val="FFFFFF"/>
                <w:sz w:val="15"/>
              </w:rPr>
              <w:t>No debe controlarse con Remote Config</w:t>
            </w:r>
          </w:p>
        </w:tc>
      </w:tr>
      <w:tr>
        <w:tc>
          <w:tcPr>
            <w:tcW w:type="dxa" w:w="4564"/>
            <w:vAlign w:val="center"/>
            <w:tcMar>
              <w:top w:w="70" w:type="dxa"/>
              <w:start w:w="90" w:type="dxa"/>
              <w:bottom w:w="70" w:type="dxa"/>
              <w:end w:w="90" w:type="dxa"/>
            </w:tcMar>
          </w:tcPr>
          <w:p>
            <w:pPr>
              <w:spacing w:after="0"/>
            </w:pPr>
            <w:r>
              <w:rPr>
                <w:sz w:val="15"/>
              </w:rPr>
              <w:t>Textos de interfaz es-CR/en, banners, ayuda, enlaces de soporte.</w:t>
            </w:r>
          </w:p>
        </w:tc>
        <w:tc>
          <w:tcPr>
            <w:tcW w:type="dxa" w:w="4677"/>
            <w:vAlign w:val="center"/>
            <w:tcMar>
              <w:top w:w="70" w:type="dxa"/>
              <w:start w:w="90" w:type="dxa"/>
              <w:bottom w:w="70" w:type="dxa"/>
              <w:end w:w="90" w:type="dxa"/>
            </w:tcMar>
          </w:tcPr>
          <w:p>
            <w:pPr>
              <w:spacing w:after="0"/>
            </w:pPr>
            <w:r>
              <w:rPr>
                <w:sz w:val="15"/>
              </w:rPr>
              <w:t>Contraseñas, tokens, credenciales o información personal de estudiantes.</w:t>
            </w:r>
          </w:p>
        </w:tc>
      </w:tr>
      <w:tr>
        <w:tc>
          <w:tcPr>
            <w:tcW w:type="dxa" w:w="4564"/>
            <w:vAlign w:val="center"/>
            <w:tcMar>
              <w:top w:w="70" w:type="dxa"/>
              <w:start w:w="90" w:type="dxa"/>
              <w:bottom w:w="70" w:type="dxa"/>
              <w:end w:w="90" w:type="dxa"/>
            </w:tcMar>
            <w:shd w:fill="F2F6FA"/>
          </w:tcPr>
          <w:p>
            <w:pPr>
              <w:spacing w:after="0"/>
            </w:pPr>
            <w:r>
              <w:rPr>
                <w:sz w:val="15"/>
              </w:rPr>
              <w:t>Flags de despliegue y visibilidad, siempre comprobando permisos backend.</w:t>
            </w:r>
          </w:p>
        </w:tc>
        <w:tc>
          <w:tcPr>
            <w:tcW w:type="dxa" w:w="4677"/>
            <w:vAlign w:val="center"/>
            <w:tcMar>
              <w:top w:w="70" w:type="dxa"/>
              <w:start w:w="90" w:type="dxa"/>
              <w:bottom w:w="70" w:type="dxa"/>
              <w:end w:w="90" w:type="dxa"/>
            </w:tcMar>
            <w:shd w:fill="F2F6FA"/>
          </w:tcPr>
          <w:p>
            <w:pPr>
              <w:spacing w:after="0"/>
            </w:pPr>
            <w:r>
              <w:rPr>
                <w:sz w:val="15"/>
              </w:rPr>
              <w:t>RLS, autorización, auditoría y protecciones de seguridad.</w:t>
            </w:r>
          </w:p>
        </w:tc>
      </w:tr>
      <w:tr>
        <w:tc>
          <w:tcPr>
            <w:tcW w:type="dxa" w:w="4564"/>
            <w:vAlign w:val="center"/>
            <w:tcMar>
              <w:top w:w="70" w:type="dxa"/>
              <w:start w:w="90" w:type="dxa"/>
              <w:bottom w:w="70" w:type="dxa"/>
              <w:end w:w="90" w:type="dxa"/>
            </w:tcMar>
          </w:tcPr>
          <w:p>
            <w:pPr>
              <w:spacing w:after="0"/>
            </w:pPr>
            <w:r>
              <w:rPr>
                <w:sz w:val="15"/>
              </w:rPr>
              <w:t>Parámetros de UX y límites operativos bajo allowlist.</w:t>
            </w:r>
          </w:p>
        </w:tc>
        <w:tc>
          <w:tcPr>
            <w:tcW w:type="dxa" w:w="4677"/>
            <w:vAlign w:val="center"/>
            <w:tcMar>
              <w:top w:w="70" w:type="dxa"/>
              <w:start w:w="90" w:type="dxa"/>
              <w:bottom w:w="70" w:type="dxa"/>
              <w:end w:w="90" w:type="dxa"/>
            </w:tcMar>
          </w:tcPr>
          <w:p>
            <w:pPr>
              <w:spacing w:after="0"/>
            </w:pPr>
            <w:r>
              <w:rPr>
                <w:sz w:val="15"/>
              </w:rPr>
              <w:t>Notas históricas, cierre de períodos o reglas ya publicadas de cálculo.</w:t>
            </w:r>
          </w:p>
        </w:tc>
      </w:tr>
      <w:tr>
        <w:tc>
          <w:tcPr>
            <w:tcW w:type="dxa" w:w="4564"/>
            <w:vAlign w:val="center"/>
            <w:tcMar>
              <w:top w:w="70" w:type="dxa"/>
              <w:start w:w="90" w:type="dxa"/>
              <w:bottom w:w="70" w:type="dxa"/>
              <w:end w:w="90" w:type="dxa"/>
            </w:tcMar>
            <w:shd w:fill="F2F6FA"/>
          </w:tcPr>
          <w:p>
            <w:pPr>
              <w:spacing w:after="0"/>
            </w:pPr>
            <w:r>
              <w:rPr>
                <w:sz w:val="15"/>
              </w:rPr>
              <w:t>Mensajes comerciales y estado de prueba configurable.</w:t>
            </w:r>
          </w:p>
        </w:tc>
        <w:tc>
          <w:tcPr>
            <w:tcW w:type="dxa" w:w="4677"/>
            <w:vAlign w:val="center"/>
            <w:tcMar>
              <w:top w:w="70" w:type="dxa"/>
              <w:start w:w="90" w:type="dxa"/>
              <w:bottom w:w="70" w:type="dxa"/>
              <w:end w:w="90" w:type="dxa"/>
            </w:tcMar>
            <w:shd w:fill="F2F6FA"/>
          </w:tcPr>
          <w:p>
            <w:pPr>
              <w:spacing w:after="0"/>
            </w:pPr>
            <w:r>
              <w:rPr>
                <w:sz w:val="15"/>
              </w:rPr>
              <w:t>Precio finalmente cobrado sin reconciliación con pasarela.</w:t>
            </w:r>
          </w:p>
        </w:tc>
      </w:tr>
    </w:tbl>
    <w:p>
      <w:r>
        <w:t>Idiomas: claves semánticas estables; interpolación escapada y traducciones completas; locale del usuario persistido; formatos mediante Intl. Los datos escritos por docentes, nombres de materias y observaciones no se traducirán automáticamente. Se recomienda pantalla de revisión de traducciones antes de publicar.</w:t>
      </w:r>
    </w:p>
    <w:p>
      <w:pPr>
        <w:pStyle w:val="Heading1"/>
      </w:pPr>
      <w:r>
        <w:t>9. Entidades del dominio</w:t>
      </w:r>
    </w:p>
    <w:p>
      <w:r>
        <w:t>Identidad: users, auth_identities, sessions, subscriptions, payments, payment_events. Académico: academic_years, academic_periods, groups, subjects, course_assignments, students, enrollments, schedule_entries, class_sessions, attendance_records. Evaluación: evaluation_profiles, evaluation_schemes, scheme_components, rubrics, rubric_versions, rubric_criteria, rubric_levels, assessments, grades, qualitative_observations y auditorías. Operación: remote_config_keys, remote_config_versions, translation_catalogs, audit_events y report_jobs.</w:t>
      </w:r>
    </w:p>
    <w:p>
      <w:r>
        <w:t>Relación clave: un profesor tiene grupos; un grupo tiene materias mediante course_assignments; un estudiante se matricula en grupo; cada sesión, evaluación, rúbrica y calificación referencia su contexto académico. Todas las rutas y tareas asíncronas deben recuperar y comprobar el propietario.</w:t>
      </w:r>
    </w:p>
    <w:p>
      <w:pPr>
        <w:pStyle w:val="Heading1"/>
      </w:pPr>
      <w:r>
        <w:t>10. Marco educativo y legal</w:t>
      </w:r>
    </w:p>
    <w:p>
      <w:r>
        <w:t>El Decreto Ejecutivo N.º 45509-MEP (2026) regula la evaluación y la conducta en ámbitos de la educación costarricense. Antes de publicar cada plantilla MEP, un especialista debe verificar vigencia, nivel, materia, reglas de asistencia, ponderaciones y redondeos. Se conservará fuente, revisor, fecha y versión. La plataforma no emitirá certificaciones oficiales ni simulará integraciones con el MEP.</w:t>
      </w:r>
    </w:p>
    <w:p>
      <w:r>
        <w:t>La Ley N.º 8968 regula el tratamiento de datos personales. Previo a pilotos con datos reales deben revisarse, con asesoría legal local, las bases de legitimación, responsabilidades de tratamiento, acuerdos, políticas de privacidad y retención, especialmente por tratarse de menores de edad. Usar únicamente datos sintéticos hasta completar esta revisión.</w:t>
      </w:r>
    </w:p>
    <w:p>
      <w:pPr>
        <w:pStyle w:val="Heading1"/>
      </w:pPr>
      <w:r>
        <w:t>11. Arquitectura recomendada y decisiones pendientes</w:t>
      </w:r>
    </w:p>
    <w:tbl>
      <w:tblPr>
        <w:tblStyle w:val="TableGrid"/>
        <w:tblW w:type="auto" w:w="0"/>
        <w:jc w:val="center"/>
        <w:tblLayout w:type="fixed"/>
        <w:tblLook w:firstColumn="1" w:firstRow="1" w:lastColumn="0" w:lastRow="0" w:noHBand="0" w:noVBand="1" w:val="04A0"/>
      </w:tblPr>
      <w:tblGrid>
        <w:gridCol w:w="1899"/>
        <w:gridCol w:w="3118"/>
        <w:gridCol w:w="4195"/>
      </w:tblGrid>
      <w:tr>
        <w:trPr>
          <w:tblHeader w:val="true"/>
        </w:trPr>
        <w:tc>
          <w:tcPr>
            <w:tcW w:type="dxa" w:w="3267"/>
            <w:shd w:fill="153352"/>
            <w:tcMar>
              <w:top w:w="70" w:type="dxa"/>
              <w:start w:w="90" w:type="dxa"/>
              <w:bottom w:w="70" w:type="dxa"/>
              <w:end w:w="90" w:type="dxa"/>
            </w:tcMar>
          </w:tcPr>
          <w:p>
            <w:r>
              <w:rPr>
                <w:b/>
                <w:color w:val="FFFFFF"/>
                <w:sz w:val="15"/>
              </w:rPr>
              <w:t>Elemento</w:t>
            </w:r>
          </w:p>
        </w:tc>
        <w:tc>
          <w:tcPr>
            <w:tcW w:type="dxa" w:w="3267"/>
            <w:shd w:fill="153352"/>
            <w:tcMar>
              <w:top w:w="70" w:type="dxa"/>
              <w:start w:w="90" w:type="dxa"/>
              <w:bottom w:w="70" w:type="dxa"/>
              <w:end w:w="90" w:type="dxa"/>
            </w:tcMar>
          </w:tcPr>
          <w:p>
            <w:r>
              <w:rPr>
                <w:b/>
                <w:color w:val="FFFFFF"/>
                <w:sz w:val="15"/>
              </w:rPr>
              <w:t>Propuesta</w:t>
            </w:r>
          </w:p>
        </w:tc>
        <w:tc>
          <w:tcPr>
            <w:tcW w:type="dxa" w:w="3267"/>
            <w:shd w:fill="153352"/>
            <w:tcMar>
              <w:top w:w="70" w:type="dxa"/>
              <w:start w:w="90" w:type="dxa"/>
              <w:bottom w:w="70" w:type="dxa"/>
              <w:end w:w="90" w:type="dxa"/>
            </w:tcMar>
          </w:tcPr>
          <w:p>
            <w:r>
              <w:rPr>
                <w:b/>
                <w:color w:val="FFFFFF"/>
                <w:sz w:val="15"/>
              </w:rPr>
              <w:t>Decisión / condición</w:t>
            </w:r>
          </w:p>
        </w:tc>
      </w:tr>
      <w:tr>
        <w:tc>
          <w:tcPr>
            <w:tcW w:type="dxa" w:w="1899"/>
            <w:vAlign w:val="center"/>
            <w:tcMar>
              <w:top w:w="70" w:type="dxa"/>
              <w:start w:w="90" w:type="dxa"/>
              <w:bottom w:w="70" w:type="dxa"/>
              <w:end w:w="90" w:type="dxa"/>
            </w:tcMar>
          </w:tcPr>
          <w:p>
            <w:pPr>
              <w:spacing w:after="0"/>
            </w:pPr>
            <w:r>
              <w:rPr>
                <w:sz w:val="15"/>
              </w:rPr>
              <w:t>Aplicación</w:t>
            </w:r>
          </w:p>
        </w:tc>
        <w:tc>
          <w:tcPr>
            <w:tcW w:type="dxa" w:w="3118"/>
            <w:vAlign w:val="center"/>
            <w:tcMar>
              <w:top w:w="70" w:type="dxa"/>
              <w:start w:w="90" w:type="dxa"/>
              <w:bottom w:w="70" w:type="dxa"/>
              <w:end w:w="90" w:type="dxa"/>
            </w:tcMar>
          </w:tcPr>
          <w:p>
            <w:pPr>
              <w:spacing w:after="0"/>
            </w:pPr>
            <w:r>
              <w:rPr>
                <w:sz w:val="15"/>
              </w:rPr>
              <w:t>Next.js + React + TypeScript estricto</w:t>
            </w:r>
          </w:p>
        </w:tc>
        <w:tc>
          <w:tcPr>
            <w:tcW w:type="dxa" w:w="4195"/>
            <w:vAlign w:val="center"/>
            <w:tcMar>
              <w:top w:w="70" w:type="dxa"/>
              <w:start w:w="90" w:type="dxa"/>
              <w:bottom w:w="70" w:type="dxa"/>
              <w:end w:w="90" w:type="dxa"/>
            </w:tcMar>
          </w:tcPr>
          <w:p>
            <w:pPr>
              <w:spacing w:after="0"/>
            </w:pPr>
            <w:r>
              <w:rPr>
                <w:sz w:val="15"/>
              </w:rPr>
              <w:t>Confirmar versión estable y arquitectura de API.</w:t>
            </w:r>
          </w:p>
        </w:tc>
      </w:tr>
      <w:tr>
        <w:tc>
          <w:tcPr>
            <w:tcW w:type="dxa" w:w="1899"/>
            <w:vAlign w:val="center"/>
            <w:tcMar>
              <w:top w:w="70" w:type="dxa"/>
              <w:start w:w="90" w:type="dxa"/>
              <w:bottom w:w="70" w:type="dxa"/>
              <w:end w:w="90" w:type="dxa"/>
            </w:tcMar>
            <w:shd w:fill="F2F6FA"/>
          </w:tcPr>
          <w:p>
            <w:pPr>
              <w:spacing w:after="0"/>
            </w:pPr>
            <w:r>
              <w:rPr>
                <w:sz w:val="15"/>
              </w:rPr>
              <w:t>Base de datos</w:t>
            </w:r>
          </w:p>
        </w:tc>
        <w:tc>
          <w:tcPr>
            <w:tcW w:type="dxa" w:w="3118"/>
            <w:vAlign w:val="center"/>
            <w:tcMar>
              <w:top w:w="70" w:type="dxa"/>
              <w:start w:w="90" w:type="dxa"/>
              <w:bottom w:w="70" w:type="dxa"/>
              <w:end w:w="90" w:type="dxa"/>
            </w:tcMar>
            <w:shd w:fill="F2F6FA"/>
          </w:tcPr>
          <w:p>
            <w:pPr>
              <w:spacing w:after="0"/>
            </w:pPr>
            <w:r>
              <w:rPr>
                <w:sz w:val="15"/>
              </w:rPr>
              <w:t>PostgreSQL + migraciones versionadas</w:t>
            </w:r>
          </w:p>
        </w:tc>
        <w:tc>
          <w:tcPr>
            <w:tcW w:type="dxa" w:w="4195"/>
            <w:vAlign w:val="center"/>
            <w:tcMar>
              <w:top w:w="70" w:type="dxa"/>
              <w:start w:w="90" w:type="dxa"/>
              <w:bottom w:w="70" w:type="dxa"/>
              <w:end w:w="90" w:type="dxa"/>
            </w:tcMar>
            <w:shd w:fill="F2F6FA"/>
          </w:tcPr>
          <w:p>
            <w:pPr>
              <w:spacing w:after="0"/>
            </w:pPr>
            <w:r>
              <w:rPr>
                <w:sz w:val="15"/>
              </w:rPr>
              <w:t>RLS, backups y pruebas de aislamiento.</w:t>
            </w:r>
          </w:p>
        </w:tc>
      </w:tr>
      <w:tr>
        <w:tc>
          <w:tcPr>
            <w:tcW w:type="dxa" w:w="1899"/>
            <w:vAlign w:val="center"/>
            <w:tcMar>
              <w:top w:w="70" w:type="dxa"/>
              <w:start w:w="90" w:type="dxa"/>
              <w:bottom w:w="70" w:type="dxa"/>
              <w:end w:w="90" w:type="dxa"/>
            </w:tcMar>
          </w:tcPr>
          <w:p>
            <w:pPr>
              <w:spacing w:after="0"/>
            </w:pPr>
            <w:r>
              <w:rPr>
                <w:sz w:val="15"/>
              </w:rPr>
              <w:t>Identidad</w:t>
            </w:r>
          </w:p>
        </w:tc>
        <w:tc>
          <w:tcPr>
            <w:tcW w:type="dxa" w:w="3118"/>
            <w:vAlign w:val="center"/>
            <w:tcMar>
              <w:top w:w="70" w:type="dxa"/>
              <w:start w:w="90" w:type="dxa"/>
              <w:bottom w:w="70" w:type="dxa"/>
              <w:end w:w="90" w:type="dxa"/>
            </w:tcMar>
          </w:tcPr>
          <w:p>
            <w:pPr>
              <w:spacing w:after="0"/>
            </w:pPr>
            <w:r>
              <w:rPr>
                <w:sz w:val="15"/>
              </w:rPr>
              <w:t>OIDC Google/Microsoft</w:t>
            </w:r>
          </w:p>
        </w:tc>
        <w:tc>
          <w:tcPr>
            <w:tcW w:type="dxa" w:w="4195"/>
            <w:vAlign w:val="center"/>
            <w:tcMar>
              <w:top w:w="70" w:type="dxa"/>
              <w:start w:w="90" w:type="dxa"/>
              <w:bottom w:w="70" w:type="dxa"/>
              <w:end w:w="90" w:type="dxa"/>
            </w:tcMar>
          </w:tcPr>
          <w:p>
            <w:pPr>
              <w:spacing w:after="0"/>
            </w:pPr>
            <w:r>
              <w:rPr>
                <w:sz w:val="15"/>
              </w:rPr>
              <w:t>Elegir servicio de auth y controlar vinculación.</w:t>
            </w:r>
          </w:p>
        </w:tc>
      </w:tr>
      <w:tr>
        <w:tc>
          <w:tcPr>
            <w:tcW w:type="dxa" w:w="1899"/>
            <w:vAlign w:val="center"/>
            <w:tcMar>
              <w:top w:w="70" w:type="dxa"/>
              <w:start w:w="90" w:type="dxa"/>
              <w:bottom w:w="70" w:type="dxa"/>
              <w:end w:w="90" w:type="dxa"/>
            </w:tcMar>
            <w:shd w:fill="F2F6FA"/>
          </w:tcPr>
          <w:p>
            <w:pPr>
              <w:spacing w:after="0"/>
            </w:pPr>
            <w:r>
              <w:rPr>
                <w:sz w:val="15"/>
              </w:rPr>
              <w:t>i18n</w:t>
            </w:r>
          </w:p>
        </w:tc>
        <w:tc>
          <w:tcPr>
            <w:tcW w:type="dxa" w:w="3118"/>
            <w:vAlign w:val="center"/>
            <w:tcMar>
              <w:top w:w="70" w:type="dxa"/>
              <w:start w:w="90" w:type="dxa"/>
              <w:bottom w:w="70" w:type="dxa"/>
              <w:end w:w="90" w:type="dxa"/>
            </w:tcMar>
            <w:shd w:fill="F2F6FA"/>
          </w:tcPr>
          <w:p>
            <w:pPr>
              <w:spacing w:after="0"/>
            </w:pPr>
            <w:r>
              <w:rPr>
                <w:sz w:val="15"/>
              </w:rPr>
              <w:t>es-CR/en; fallback local y catálogos remotos</w:t>
            </w:r>
          </w:p>
        </w:tc>
        <w:tc>
          <w:tcPr>
            <w:tcW w:type="dxa" w:w="4195"/>
            <w:vAlign w:val="center"/>
            <w:tcMar>
              <w:top w:w="70" w:type="dxa"/>
              <w:start w:w="90" w:type="dxa"/>
              <w:bottom w:w="70" w:type="dxa"/>
              <w:end w:w="90" w:type="dxa"/>
            </w:tcMar>
            <w:shd w:fill="F2F6FA"/>
          </w:tcPr>
          <w:p>
            <w:pPr>
              <w:spacing w:after="0"/>
            </w:pPr>
            <w:r>
              <w:rPr>
                <w:sz w:val="15"/>
              </w:rPr>
              <w:t>Proveedor/servicio Remote Config por seleccionar.</w:t>
            </w:r>
          </w:p>
        </w:tc>
      </w:tr>
      <w:tr>
        <w:tc>
          <w:tcPr>
            <w:tcW w:type="dxa" w:w="1899"/>
            <w:vAlign w:val="center"/>
            <w:tcMar>
              <w:top w:w="70" w:type="dxa"/>
              <w:start w:w="90" w:type="dxa"/>
              <w:bottom w:w="70" w:type="dxa"/>
              <w:end w:w="90" w:type="dxa"/>
            </w:tcMar>
          </w:tcPr>
          <w:p>
            <w:pPr>
              <w:spacing w:after="0"/>
            </w:pPr>
            <w:r>
              <w:rPr>
                <w:sz w:val="15"/>
              </w:rPr>
              <w:t>PDF</w:t>
            </w:r>
          </w:p>
        </w:tc>
        <w:tc>
          <w:tcPr>
            <w:tcW w:type="dxa" w:w="3118"/>
            <w:vAlign w:val="center"/>
            <w:tcMar>
              <w:top w:w="70" w:type="dxa"/>
              <w:start w:w="90" w:type="dxa"/>
              <w:bottom w:w="70" w:type="dxa"/>
              <w:end w:w="90" w:type="dxa"/>
            </w:tcMar>
          </w:tcPr>
          <w:p>
            <w:pPr>
              <w:spacing w:after="0"/>
            </w:pPr>
            <w:r>
              <w:rPr>
                <w:sz w:val="15"/>
              </w:rPr>
              <w:t>Backend privado + cola + storage cifrado</w:t>
            </w:r>
          </w:p>
        </w:tc>
        <w:tc>
          <w:tcPr>
            <w:tcW w:type="dxa" w:w="4195"/>
            <w:vAlign w:val="center"/>
            <w:tcMar>
              <w:top w:w="70" w:type="dxa"/>
              <w:start w:w="90" w:type="dxa"/>
              <w:bottom w:w="70" w:type="dxa"/>
              <w:end w:w="90" w:type="dxa"/>
            </w:tcMar>
          </w:tcPr>
          <w:p>
            <w:pPr>
              <w:spacing w:after="0"/>
            </w:pPr>
            <w:r>
              <w:rPr>
                <w:sz w:val="15"/>
              </w:rPr>
              <w:t>Definir librería y tiempo de retención.</w:t>
            </w:r>
          </w:p>
        </w:tc>
      </w:tr>
      <w:tr>
        <w:tc>
          <w:tcPr>
            <w:tcW w:type="dxa" w:w="1899"/>
            <w:vAlign w:val="center"/>
            <w:tcMar>
              <w:top w:w="70" w:type="dxa"/>
              <w:start w:w="90" w:type="dxa"/>
              <w:bottom w:w="70" w:type="dxa"/>
              <w:end w:w="90" w:type="dxa"/>
            </w:tcMar>
            <w:shd w:fill="F2F6FA"/>
          </w:tcPr>
          <w:p>
            <w:pPr>
              <w:spacing w:after="0"/>
            </w:pPr>
            <w:r>
              <w:rPr>
                <w:sz w:val="15"/>
              </w:rPr>
              <w:t>Cobro</w:t>
            </w:r>
          </w:p>
        </w:tc>
        <w:tc>
          <w:tcPr>
            <w:tcW w:type="dxa" w:w="3118"/>
            <w:vAlign w:val="center"/>
            <w:tcMar>
              <w:top w:w="70" w:type="dxa"/>
              <w:start w:w="90" w:type="dxa"/>
              <w:bottom w:w="70" w:type="dxa"/>
              <w:end w:w="90" w:type="dxa"/>
            </w:tcMar>
            <w:shd w:fill="F2F6FA"/>
          </w:tcPr>
          <w:p>
            <w:pPr>
              <w:spacing w:after="0"/>
            </w:pPr>
            <w:r>
              <w:rPr>
                <w:sz w:val="15"/>
              </w:rPr>
              <w:t>Pasarela recurrente compatible con Costa Rica</w:t>
            </w:r>
          </w:p>
        </w:tc>
        <w:tc>
          <w:tcPr>
            <w:tcW w:type="dxa" w:w="4195"/>
            <w:vAlign w:val="center"/>
            <w:tcMar>
              <w:top w:w="70" w:type="dxa"/>
              <w:start w:w="90" w:type="dxa"/>
              <w:bottom w:w="70" w:type="dxa"/>
              <w:end w:w="90" w:type="dxa"/>
            </w:tcMar>
            <w:shd w:fill="F2F6FA"/>
          </w:tcPr>
          <w:p>
            <w:pPr>
              <w:spacing w:after="0"/>
            </w:pPr>
            <w:r>
              <w:rPr>
                <w:sz w:val="15"/>
              </w:rPr>
              <w:t>Validar contrato, webhook e impuestos.</w:t>
            </w:r>
          </w:p>
        </w:tc>
      </w:tr>
      <w:tr>
        <w:tc>
          <w:tcPr>
            <w:tcW w:type="dxa" w:w="1899"/>
            <w:vAlign w:val="center"/>
            <w:tcMar>
              <w:top w:w="70" w:type="dxa"/>
              <w:start w:w="90" w:type="dxa"/>
              <w:bottom w:w="70" w:type="dxa"/>
              <w:end w:w="90" w:type="dxa"/>
            </w:tcMar>
          </w:tcPr>
          <w:p>
            <w:pPr>
              <w:spacing w:after="0"/>
            </w:pPr>
            <w:r>
              <w:rPr>
                <w:sz w:val="15"/>
              </w:rPr>
              <w:t>Despliegue</w:t>
            </w:r>
          </w:p>
        </w:tc>
        <w:tc>
          <w:tcPr>
            <w:tcW w:type="dxa" w:w="3118"/>
            <w:vAlign w:val="center"/>
            <w:tcMar>
              <w:top w:w="70" w:type="dxa"/>
              <w:start w:w="90" w:type="dxa"/>
              <w:bottom w:w="70" w:type="dxa"/>
              <w:end w:w="90" w:type="dxa"/>
            </w:tcMar>
          </w:tcPr>
          <w:p>
            <w:pPr>
              <w:spacing w:after="0"/>
            </w:pPr>
            <w:r>
              <w:rPr>
                <w:sz w:val="15"/>
              </w:rPr>
              <w:t>Cloud + CI/CD y stage/prod</w:t>
            </w:r>
          </w:p>
        </w:tc>
        <w:tc>
          <w:tcPr>
            <w:tcW w:type="dxa" w:w="4195"/>
            <w:vAlign w:val="center"/>
            <w:tcMar>
              <w:top w:w="70" w:type="dxa"/>
              <w:start w:w="90" w:type="dxa"/>
              <w:bottom w:w="70" w:type="dxa"/>
              <w:end w:w="90" w:type="dxa"/>
            </w:tcMar>
          </w:tcPr>
          <w:p>
            <w:pPr>
              <w:spacing w:after="0"/>
            </w:pPr>
            <w:r>
              <w:rPr>
                <w:sz w:val="15"/>
              </w:rPr>
              <w:t>Validar costo y residencia de datos.</w:t>
            </w:r>
          </w:p>
        </w:tc>
      </w:tr>
      <w:tr>
        <w:tc>
          <w:tcPr>
            <w:tcW w:type="dxa" w:w="1899"/>
            <w:vAlign w:val="center"/>
            <w:tcMar>
              <w:top w:w="70" w:type="dxa"/>
              <w:start w:w="90" w:type="dxa"/>
              <w:bottom w:w="70" w:type="dxa"/>
              <w:end w:w="90" w:type="dxa"/>
            </w:tcMar>
            <w:shd w:fill="F2F6FA"/>
          </w:tcPr>
          <w:p>
            <w:pPr>
              <w:spacing w:after="0"/>
            </w:pPr>
            <w:r>
              <w:rPr>
                <w:sz w:val="15"/>
              </w:rPr>
              <w:t>Observabilidad</w:t>
            </w:r>
          </w:p>
        </w:tc>
        <w:tc>
          <w:tcPr>
            <w:tcW w:type="dxa" w:w="3118"/>
            <w:vAlign w:val="center"/>
            <w:tcMar>
              <w:top w:w="70" w:type="dxa"/>
              <w:start w:w="90" w:type="dxa"/>
              <w:bottom w:w="70" w:type="dxa"/>
              <w:end w:w="90" w:type="dxa"/>
            </w:tcMar>
            <w:shd w:fill="F2F6FA"/>
          </w:tcPr>
          <w:p>
            <w:pPr>
              <w:spacing w:after="0"/>
            </w:pPr>
            <w:r>
              <w:rPr>
                <w:sz w:val="15"/>
              </w:rPr>
              <w:t>Logs estructurados, métricas, alertas</w:t>
            </w:r>
          </w:p>
        </w:tc>
        <w:tc>
          <w:tcPr>
            <w:tcW w:type="dxa" w:w="4195"/>
            <w:vAlign w:val="center"/>
            <w:tcMar>
              <w:top w:w="70" w:type="dxa"/>
              <w:start w:w="90" w:type="dxa"/>
              <w:bottom w:w="70" w:type="dxa"/>
              <w:end w:w="90" w:type="dxa"/>
            </w:tcMar>
            <w:shd w:fill="F2F6FA"/>
          </w:tcPr>
          <w:p>
            <w:pPr>
              <w:spacing w:after="0"/>
            </w:pPr>
            <w:r>
              <w:rPr>
                <w:sz w:val="15"/>
              </w:rPr>
              <w:t>Excluir tokens y PII estudiantil.</w:t>
            </w:r>
          </w:p>
        </w:tc>
      </w:tr>
    </w:tbl>
    <w:p>
      <w:pPr>
        <w:pStyle w:val="Heading1"/>
      </w:pPr>
      <w:r>
        <w:t>12. Fuera de alcance inicial</w:t>
      </w:r>
    </w:p>
    <w:p>
      <w:r>
        <w:t>Portal de padres/alumnos, instituciones, aplicación nativa, acceso completo offline, IA generativa, comunicación masiva, boletines oficiales ministeriales, exportación Excel avanzada, integraciones con sistemas del MEP, administración curricular compleja y automatización de todas las modalidades académicas.</w:t>
      </w:r>
    </w:p>
    <w:p>
      <w:pPr>
        <w:pStyle w:val="Heading1"/>
      </w:pPr>
      <w:r>
        <w:t>13. Condiciones para iniciar en Claude Code</w:t>
      </w:r>
    </w:p>
    <w:p>
      <w:pPr>
        <w:pStyle w:val="ListBullet"/>
        <w:spacing w:after="40"/>
        <w:ind w:left="255" w:hanging="113"/>
      </w:pPr>
      <w:r>
        <w:t>Leer este documento, el Backlog y las Historias de Usuario antes de programar.</w:t>
      </w:r>
    </w:p>
    <w:p>
      <w:pPr>
        <w:pStyle w:val="ListBullet"/>
        <w:spacing w:after="40"/>
        <w:ind w:left="255" w:hanging="113"/>
      </w:pPr>
      <w:r>
        <w:t>Crear CLAUDE.md en la raíz del repositorio y mantenerlo breve y operativo.</w:t>
      </w:r>
    </w:p>
    <w:p>
      <w:pPr>
        <w:pStyle w:val="ListBullet"/>
        <w:spacing w:after="40"/>
        <w:ind w:left="255" w:hanging="113"/>
      </w:pPr>
      <w:r>
        <w:t>Implementar AG-001 y cerrar sus criterios antes de AG-002; siempre respetar dependencias.</w:t>
      </w:r>
    </w:p>
    <w:p>
      <w:pPr>
        <w:pStyle w:val="ListBullet"/>
        <w:spacing w:after="40"/>
        <w:ind w:left="255" w:hanging="113"/>
      </w:pPr>
      <w:r>
        <w:t>Para cada historia: plan → pruebas → implementación mínima → revisión de seguridad/idioma/remote config → informe de aceptación.</w:t>
      </w:r>
    </w:p>
    <w:p>
      <w:pPr>
        <w:pStyle w:val="ListBullet"/>
        <w:spacing w:after="40"/>
        <w:ind w:left="255" w:hanging="113"/>
      </w:pPr>
      <w:r>
        <w:t>No inventar porcentajes MEP ni configuraciones fiscales; dejar explícita la validación pendiente.</w:t>
      </w:r>
    </w:p>
    <w:p>
      <w:pPr>
        <w:pStyle w:val="ListBullet"/>
        <w:spacing w:after="40"/>
        <w:ind w:left="255" w:hanging="113"/>
      </w:pPr>
      <w:r>
        <w:t>No usar datos personales reales durante desarrollo o demostraciones.</w:t>
      </w:r>
    </w:p>
    <w:p>
      <w:pPr>
        <w:pStyle w:val="ListBullet"/>
        <w:spacing w:after="40"/>
        <w:ind w:left="255" w:hanging="113"/>
      </w:pPr>
      <w:r>
        <w:t>No permitir merges si fallan typecheck, pruebas, escaneo de secretos y pruebas de aislamiento relevantes.</w:t>
      </w:r>
    </w:p>
    <w:p>
      <w:pPr>
        <w:pStyle w:val="Heading1"/>
      </w:pPr>
      <w:r>
        <w:t>14. Referencias y notas de validación</w:t>
      </w:r>
    </w:p>
    <w:p>
      <w:pPr>
        <w:pStyle w:val="SmallNote"/>
      </w:pPr>
      <w:r>
        <w:t>MEP Costa Rica — Decreto Ejecutivo 45509-MEP, Reglamento de Evaluación de los Aprendizajes y de la Conducta (2026) — https://www.mep.go.cr/leyes-reglamentos</w:t>
      </w:r>
    </w:p>
    <w:p>
      <w:pPr>
        <w:pStyle w:val="SmallNote"/>
      </w:pPr>
      <w:r>
        <w:t>Texto del decreto 45509-MEP en Sistema Costarricense de Información Jurídica / PGR — https://www.pgrweb.go.cr/DOCS/NORMAS/1/VIGENTE/D/2020-2029/2025-2029/2026/19F95/17F011.HTML</w:t>
      </w:r>
    </w:p>
    <w:p>
      <w:pPr>
        <w:pStyle w:val="SmallNote"/>
      </w:pPr>
      <w:r>
        <w:t>Ley 8968, Protección de la Persona frente al Tratamiento de sus Datos Personales — https://formatos.inamu.go.cr/SIDOC/DOCS/ley_8968.pdf</w:t>
      </w:r>
    </w:p>
    <w:p>
      <w:pPr>
        <w:pStyle w:val="SmallNote"/>
      </w:pPr>
      <w:r>
        <w:t>OWASP ASVS — versión estable 5.0.0 — https://asvs.owasp.org/</w:t>
      </w:r>
    </w:p>
    <w:p>
      <w:pPr>
        <w:pStyle w:val="SmallNote"/>
      </w:pPr>
      <w:r>
        <w:t>Anthropic — Claude Code: CLAUDE.md y mejores prompts — https://support.claude.com/es/articles/14553240-dale-contexto-a-claude-claude-md-y-mejores-prompts</w:t>
      </w:r>
    </w:p>
    <w:p>
      <w:pPr>
        <w:pStyle w:val="SmallNote"/>
      </w:pPr>
      <w:r>
        <w:t>Estas referencias orientan el desarrollo; no sustituyen una revisión jurídica, contable o normativa antes de operar comercialmente.</w:t>
      </w:r>
    </w:p>
    <w:sectPr w:rsidR="00FC693F" w:rsidRPr="0006063C" w:rsidSect="00034616">
      <w:headerReference w:type="default" r:id="rId9"/>
      <w:footerReference w:type="default" r:id="rId10"/>
      <w:pgSz w:w="12240" w:h="15840"/>
      <w:pgMar w:top="1077" w:right="1219" w:bottom="1020" w:left="1219"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CONTEXTO  •  v1.0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AULAGESTIÓN  /  DOCUMENTACIÓN DE PRODUCTO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52A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ptos Display" w:hAnsi="Aptos Display"/>
      <w:b/>
      <w:bCs/>
      <w:color w:val="152A4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F5C95"/>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5C9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52A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80"/>
    </w:pPr>
    <w:rPr>
      <w:color w:val="596776"/>
      <w:sz w:val="16"/>
    </w:rPr>
  </w:style>
  <w:style w:type="paragraph" w:customStyle="1" w:styleId="StoryMeta">
    <w:name w:val="StoryMeta"/>
    <w:pPr>
      <w:spacing w:after="80"/>
    </w:pPr>
    <w:rPr>
      <w:color w:val="596776"/>
      <w:sz w:val="16"/>
    </w:rPr>
  </w:style>
  <w:style w:type="paragraph" w:customStyle="1" w:styleId="Kicker">
    <w:name w:val="Kicker"/>
    <w:pPr>
      <w:spacing w:after="160"/>
    </w:pPr>
    <w:rPr>
      <w:b/>
      <w:color w:val="1F5C9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