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r>
        <w:t xml:space="preserve"> </w:t>
      </w:r>
      <w:r>
        <w:t xml:space="preserve">in</w:t>
      </w:r>
      <w:r>
        <w:t xml:space="preserve"> </w:t>
      </w:r>
      <w:r>
        <w:t xml:space="preserve">Vietnamese</w:t>
      </w:r>
      <w:r>
        <w:t xml:space="preserve"> </w:t>
      </w:r>
      <w:r>
        <w:t xml:space="preserve">patients</w:t>
      </w:r>
    </w:p>
    <w:p>
      <w:pPr>
        <w:pStyle w:val="Date"/>
      </w:pPr>
      <w:r>
        <w:t xml:space="preserve">Wednesday,</w:t>
      </w:r>
      <w:r>
        <w:t xml:space="preserve"> </w:t>
      </w:r>
      <w:r>
        <w:t xml:space="preserve">March</w:t>
      </w:r>
      <w:r>
        <w:t xml:space="preserve"> </w:t>
      </w:r>
      <w:r>
        <w:t xml:space="preserve">27,</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t xml:space="preserve">Linezolid is an oxazolidinones antibiotics</w:t>
      </w:r>
      <w:r>
        <w:t xml:space="preserve"> </w:t>
      </w:r>
      <w:r>
        <w:t xml:space="preserve">[1]</w:t>
      </w:r>
      <w:r>
        <w:t xml:space="preserve">.</w:t>
      </w:r>
    </w:p>
    <w:bookmarkEnd w:id="21"/>
    <w:bookmarkEnd w:id="22"/>
    <w:bookmarkStart w:id="62"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p>
      <w:pPr>
        <w:pStyle w:val="FirstParagraph"/>
      </w:pPr>
      <w:r>
        <w:t xml:space="preserve">This study used data from three hospitals in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[2–5]</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[6]</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[7]</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[8]</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0.15.</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at most 20 parameters.</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[5,9,10]</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they have a platelet count that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02"/>
        </w:numPr>
        <w:pStyle w:val="Compact"/>
      </w:pPr>
      <w:r>
        <w:t xml:space="preserve">Patient demographics</w:t>
      </w:r>
    </w:p>
    <w:p>
      <w:pPr>
        <w:numPr>
          <w:ilvl w:val="0"/>
          <w:numId w:val="1002"/>
        </w:numPr>
        <w:pStyle w:val="Compact"/>
      </w:pPr>
      <w:r>
        <w:t xml:space="preserve">Clinical department where linezolid was initiated.</w:t>
      </w:r>
    </w:p>
    <w:p>
      <w:pPr>
        <w:numPr>
          <w:ilvl w:val="0"/>
          <w:numId w:val="1002"/>
        </w:numPr>
        <w:pStyle w:val="Compact"/>
      </w:pPr>
      <w:r>
        <w:t xml:space="preserve">Co-morbidities</w:t>
      </w:r>
    </w:p>
    <w:p>
      <w:pPr>
        <w:numPr>
          <w:ilvl w:val="0"/>
          <w:numId w:val="1002"/>
        </w:numPr>
        <w:pStyle w:val="Compact"/>
      </w:pPr>
      <w:r>
        <w:t xml:space="preserve">Invasive procedures performed</w:t>
      </w:r>
    </w:p>
    <w:p>
      <w:pPr>
        <w:numPr>
          <w:ilvl w:val="0"/>
          <w:numId w:val="1002"/>
        </w:numPr>
        <w:pStyle w:val="Compact"/>
      </w:pPr>
      <w:r>
        <w:t xml:space="preserve">Infection type</w:t>
      </w:r>
    </w:p>
    <w:p>
      <w:pPr>
        <w:numPr>
          <w:ilvl w:val="0"/>
          <w:numId w:val="1002"/>
        </w:numPr>
        <w:pStyle w:val="Compact"/>
      </w:pPr>
      <w:r>
        <w:t xml:space="preserve">Laboratory results</w:t>
      </w:r>
    </w:p>
    <w:p>
      <w:pPr>
        <w:numPr>
          <w:ilvl w:val="0"/>
          <w:numId w:val="1002"/>
        </w:numPr>
        <w:pStyle w:val="Compact"/>
      </w:pPr>
      <w:r>
        <w:t xml:space="preserve">Linezolid route of administration</w:t>
      </w:r>
    </w:p>
    <w:p>
      <w:pPr>
        <w:numPr>
          <w:ilvl w:val="0"/>
          <w:numId w:val="1002"/>
        </w:numPr>
        <w:pStyle w:val="Compact"/>
      </w:pPr>
      <w:r>
        <w:t xml:space="preserve">Linezolid dose in milligrams.</w:t>
      </w:r>
    </w:p>
    <w:p>
      <w:pPr>
        <w:numPr>
          <w:ilvl w:val="0"/>
          <w:numId w:val="1002"/>
        </w:numPr>
        <w:pStyle w:val="Compact"/>
      </w:pPr>
      <w:r>
        <w:t xml:space="preserve">Linezolid duration, defined as the number of days from the first to the last dose of linezolid.</w:t>
      </w:r>
    </w:p>
    <w:p>
      <w:pPr>
        <w:numPr>
          <w:ilvl w:val="0"/>
          <w:numId w:val="1002"/>
        </w:numPr>
        <w:pStyle w:val="Compact"/>
      </w:pPr>
      <w:r>
        <w:t xml:space="preserve">Concomitant medications during linezolid therapy</w:t>
      </w:r>
    </w:p>
    <w:bookmarkEnd w:id="41"/>
    <w:bookmarkEnd w:id="42"/>
    <w:bookmarkStart w:id="52"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03"/>
        </w:numPr>
        <w:pStyle w:val="Compact"/>
      </w:pPr>
      <w:r>
        <w:t xml:space="preserve">Patient demographics were limited to age in years, gender, and weight in kilograms.</w:t>
      </w:r>
    </w:p>
    <w:p>
      <w:pPr>
        <w:numPr>
          <w:ilvl w:val="0"/>
          <w:numId w:val="1003"/>
        </w:numPr>
        <w:pStyle w:val="Compact"/>
      </w:pPr>
      <w:r>
        <w:t xml:space="preserve">Clinical department was recorded into binary variables: intensive care unit, emergency department, and others.</w:t>
      </w:r>
    </w:p>
    <w:p>
      <w:pPr>
        <w:numPr>
          <w:ilvl w:val="0"/>
          <w:numId w:val="1003"/>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03"/>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03"/>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03"/>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03"/>
        </w:numPr>
        <w:pStyle w:val="Compact"/>
      </w:pPr>
      <w:r>
        <w:t xml:space="preserve">Linezolid route of administration was recorded into binary variables: intravenous, oral, and both.</w:t>
      </w:r>
    </w:p>
    <w:p>
      <w:pPr>
        <w:numPr>
          <w:ilvl w:val="0"/>
          <w:numId w:val="1003"/>
        </w:numPr>
        <w:pStyle w:val="Compact"/>
      </w:pPr>
      <w:r>
        <w:t xml:space="preserve">Linezolid dose in milligrams.</w:t>
      </w:r>
    </w:p>
    <w:p>
      <w:pPr>
        <w:numPr>
          <w:ilvl w:val="0"/>
          <w:numId w:val="1003"/>
        </w:numPr>
        <w:pStyle w:val="Compact"/>
      </w:pPr>
      <w:r>
        <w:t xml:space="preserve">Linezolid duration in days.</w:t>
      </w:r>
    </w:p>
    <w:p>
      <w:pPr>
        <w:numPr>
          <w:ilvl w:val="0"/>
          <w:numId w:val="1003"/>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43"/>
    <w:bookmarkStart w:id="47" w:name="X91a023549c2dfccfbc2d0059dad46fe7d545ef7"/>
    <w:p>
      <w:pPr>
        <w:pStyle w:val="Heading3"/>
      </w:pPr>
      <w:r>
        <w:t xml:space="preserve">3.4.2 7b. Describe the method for assessing risk of bias and applicability in the individual clusters (eg, using PROBAST)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Is this even possible for this study?</w:t>
            </w:r>
          </w:p>
        </w:tc>
      </w:tr>
    </w:tbl>
    <w:bookmarkEnd w:id="47"/>
    <w:bookmarkStart w:id="48" w:name="X383221ef4d2bd38366e848d8090d01f982b2481"/>
    <w:p>
      <w:pPr>
        <w:pStyle w:val="Heading3"/>
      </w:pPr>
      <w:r>
        <w:t xml:space="preserve">3.4.3 7c. For validation, identify any differences in definition and measurement from the development data (eg, setting, eligibility criteria, outcome, predictors)</w:t>
      </w:r>
    </w:p>
    <w:bookmarkEnd w:id="48"/>
    <w:bookmarkStart w:id="51" w:name="X3c6cc9e492c692a13f969b98095aaeb3bd208c5"/>
    <w:p>
      <w:pPr>
        <w:pStyle w:val="Heading3"/>
      </w:pPr>
      <w:r>
        <w:t xml:space="preserve">3.4.4 7d. Describe how missing data were handled</w:t>
      </w:r>
    </w:p>
    <w:p>
      <w:pPr>
        <w:pStyle w:val="FirstParagraph"/>
      </w:pPr>
      <w:r>
        <w:t xml:space="preserve">Any subsequent analyses were conducted on the complete case dataset. There are ~5% of observations with missing values in the dataset, which is considered low. The missing data mechanism is assumed to be missing completely at random.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What is a possible reason for missing data?</w:t>
            </w:r>
          </w:p>
        </w:tc>
      </w:tr>
    </w:tbl>
    <w:bookmarkEnd w:id="51"/>
    <w:bookmarkEnd w:id="52"/>
    <w:bookmarkStart w:id="60" w:name="data-analysis"/>
    <w:p>
      <w:pPr>
        <w:pStyle w:val="Heading2"/>
      </w:pPr>
      <w:r>
        <w:t xml:space="preserve">3.5 Data analysis</w:t>
      </w:r>
    </w:p>
    <w:bookmarkStart w:id="53" w:name="Xb0726650491062627758024d17995bc141dbb21"/>
    <w:p>
      <w:pPr>
        <w:pStyle w:val="Heading3"/>
      </w:pPr>
      <w:r>
        <w:t xml:space="preserve">3.5.1 8a. Describe how predictors were handled in the analyses</w:t>
      </w:r>
    </w:p>
    <w:bookmarkEnd w:id="53"/>
    <w:bookmarkStart w:id="54" w:name="Xd18b4c5bbe999fa15e3d5d61fb65cc713cf0286"/>
    <w:p>
      <w:pPr>
        <w:pStyle w:val="Heading3"/>
      </w:pPr>
      <w:r>
        <w:t xml:space="preserve">3.5.2 8b. Specify the type of model, all model building procedures (eg, any predictor selection and penalisation), and method for validation</w:t>
      </w:r>
    </w:p>
    <w:bookmarkEnd w:id="54"/>
    <w:bookmarkStart w:id="55" w:name="Xedea8ff0a9e593dde026caed7e0de64c5e28abb"/>
    <w:p>
      <w:pPr>
        <w:pStyle w:val="Heading3"/>
      </w:pPr>
      <w:r>
        <w:t xml:space="preserve">3.5.3 8c. Describe how any heterogeneity across clusters (eg, studies or settings) in model parameter values was handled</w:t>
      </w:r>
    </w:p>
    <w:bookmarkEnd w:id="55"/>
    <w:bookmarkStart w:id="56" w:name="X3636e26e82751d0aff929cd6909af7c206295f0"/>
    <w:p>
      <w:pPr>
        <w:pStyle w:val="Heading3"/>
      </w:pPr>
      <w:r>
        <w:t xml:space="preserve">3.5.4 8d. For validation, describe how the predictions were calculated</w:t>
      </w:r>
    </w:p>
    <w:bookmarkEnd w:id="56"/>
    <w:bookmarkStart w:id="57" w:name="X51b40980eb55791b28059f12c0bd04d62c5354b"/>
    <w:p>
      <w:pPr>
        <w:pStyle w:val="Heading3"/>
      </w:pPr>
      <w:r>
        <w:t xml:space="preserve">3.5.5 8e. Specify all measures used to assess model performance (eg, calibration, discrimination, and decision curve analysis) and, if relevant, to compare multiple models</w:t>
      </w:r>
    </w:p>
    <w:bookmarkEnd w:id="57"/>
    <w:bookmarkStart w:id="58" w:name="X20c5d6bf230e3e1cce3fc0040ac0e1f2baa9bbd"/>
    <w:p>
      <w:pPr>
        <w:pStyle w:val="Heading3"/>
      </w:pPr>
      <w:r>
        <w:t xml:space="preserve">3.5.6 8f. Describe how any heterogeneity across clusters (eg, studies or settings) in model performance was handled and quantified</w:t>
      </w:r>
    </w:p>
    <w:bookmarkEnd w:id="58"/>
    <w:bookmarkStart w:id="59" w:name="Xdee7022a0f0a1470ad248772815229387cea5b0"/>
    <w:p>
      <w:pPr>
        <w:pStyle w:val="Heading3"/>
      </w:pPr>
      <w:r>
        <w:t xml:space="preserve">3.5.7 8g. Describe any model updating (eg, recalibration) arising from the validation, either overall or for particular populations or settings</w:t>
      </w:r>
    </w:p>
    <w:bookmarkEnd w:id="59"/>
    <w:bookmarkEnd w:id="60"/>
    <w:bookmarkStart w:id="61" w:name="sensitivity-analysis"/>
    <w:p>
      <w:pPr>
        <w:pStyle w:val="Heading2"/>
      </w:pPr>
      <w:r>
        <w:t xml:space="preserve">3.6 Sensitivity analysis</w:t>
      </w:r>
    </w:p>
    <w:bookmarkEnd w:id="61"/>
    <w:bookmarkEnd w:id="62"/>
    <w:bookmarkStart w:id="69" w:name="results"/>
    <w:p>
      <w:pPr>
        <w:pStyle w:val="Heading1"/>
      </w:pPr>
      <w:r>
        <w:t xml:space="preserve">4. Results</w:t>
      </w:r>
    </w:p>
    <w:bookmarkStart w:id="63" w:name="participants-and-datasets"/>
    <w:p>
      <w:pPr>
        <w:pStyle w:val="Heading2"/>
      </w:pPr>
      <w:r>
        <w:t xml:space="preserve">4.1 Participants and datasets</w:t>
      </w:r>
    </w:p>
    <w:bookmarkEnd w:id="63"/>
    <w:bookmarkStart w:id="64" w:name="risk-of-bias"/>
    <w:p>
      <w:pPr>
        <w:pStyle w:val="Heading2"/>
      </w:pPr>
      <w:r>
        <w:t xml:space="preserve">4.2 Risk of bias</w:t>
      </w:r>
    </w:p>
    <w:bookmarkEnd w:id="64"/>
    <w:bookmarkStart w:id="65" w:name="model-development-and-specification"/>
    <w:p>
      <w:pPr>
        <w:pStyle w:val="Heading2"/>
      </w:pPr>
      <w:r>
        <w:t xml:space="preserve">4.3 Model development and specification</w:t>
      </w:r>
    </w:p>
    <w:bookmarkEnd w:id="65"/>
    <w:bookmarkStart w:id="66" w:name="model-performance"/>
    <w:p>
      <w:pPr>
        <w:pStyle w:val="Heading2"/>
      </w:pPr>
      <w:r>
        <w:t xml:space="preserve">4.4 Model performance</w:t>
      </w:r>
    </w:p>
    <w:bookmarkEnd w:id="66"/>
    <w:bookmarkStart w:id="67" w:name="model-updating"/>
    <w:p>
      <w:pPr>
        <w:pStyle w:val="Heading2"/>
      </w:pPr>
      <w:r>
        <w:t xml:space="preserve">4.5 Model updating</w:t>
      </w:r>
    </w:p>
    <w:bookmarkEnd w:id="67"/>
    <w:bookmarkStart w:id="68" w:name="sensitivity-analysis-1"/>
    <w:p>
      <w:pPr>
        <w:pStyle w:val="Heading2"/>
      </w:pPr>
      <w:r>
        <w:t xml:space="preserve">4.6 Sensitivity analysis</w:t>
      </w:r>
    </w:p>
    <w:bookmarkEnd w:id="68"/>
    <w:bookmarkEnd w:id="69"/>
    <w:bookmarkStart w:id="72" w:name="discussion"/>
    <w:p>
      <w:pPr>
        <w:pStyle w:val="Heading1"/>
      </w:pPr>
      <w:r>
        <w:t xml:space="preserve">5. Discussion</w:t>
      </w:r>
    </w:p>
    <w:bookmarkStart w:id="70" w:name="interpretation"/>
    <w:p>
      <w:pPr>
        <w:pStyle w:val="Heading2"/>
      </w:pPr>
      <w:r>
        <w:t xml:space="preserve">5.1 Interpretation</w:t>
      </w:r>
    </w:p>
    <w:bookmarkEnd w:id="70"/>
    <w:bookmarkStart w:id="71" w:name="implications"/>
    <w:p>
      <w:pPr>
        <w:pStyle w:val="Heading2"/>
      </w:pPr>
      <w:r>
        <w:t xml:space="preserve">5.2 Implications</w:t>
      </w:r>
    </w:p>
    <w:bookmarkEnd w:id="71"/>
    <w:bookmarkEnd w:id="72"/>
    <w:bookmarkStart w:id="97" w:name="other-information"/>
    <w:p>
      <w:pPr>
        <w:pStyle w:val="Heading1"/>
      </w:pPr>
      <w:r>
        <w:t xml:space="preserve">6. Other information</w:t>
      </w:r>
    </w:p>
    <w:bookmarkStart w:id="73" w:name="supplementary-information"/>
    <w:p>
      <w:pPr>
        <w:pStyle w:val="Heading2"/>
      </w:pPr>
      <w:r>
        <w:t xml:space="preserve">6.1 Supplementary information</w:t>
      </w:r>
    </w:p>
    <w:bookmarkEnd w:id="73"/>
    <w:bookmarkStart w:id="74" w:name="funding"/>
    <w:p>
      <w:pPr>
        <w:pStyle w:val="Heading2"/>
      </w:pPr>
      <w:r>
        <w:t xml:space="preserve">6.2 Funding</w:t>
      </w:r>
    </w:p>
    <w:bookmarkEnd w:id="74"/>
    <w:bookmarkStart w:id="96" w:name="references"/>
    <w:p>
      <w:pPr>
        <w:pStyle w:val="Heading2"/>
      </w:pPr>
      <w:r>
        <w:t xml:space="preserve">6.3 References</w:t>
      </w:r>
    </w:p>
    <w:bookmarkStart w:id="95" w:name="refs"/>
    <w:bookmarkStart w:id="76" w:name="ref-cazavet_risk_2020"/>
    <w:p>
      <w:pPr>
        <w:pStyle w:val="Bibliography"/>
      </w:pPr>
      <w:r>
        <w:t xml:space="preserve">1. Cazavet J, Bounes FV, Ruiz S, Seguin T, Crognier L, Rouget A, et al. Risk factor analysis for linezolid-associated thrombocytopenia in critically ill patients. Eur J Clin Microbiol Infect Dis [Internet]. 2020;39:527–38. Available from:</w:t>
      </w:r>
      <w:r>
        <w:t xml:space="preserve"> </w:t>
      </w:r>
      <w:hyperlink r:id="rId75">
        <w:r>
          <w:rPr>
            <w:rStyle w:val="Hyperlink"/>
          </w:rPr>
          <w:t xml:space="preserve">https://www.ncbi.nlm.nih.gov/pubmed/31853741</w:t>
        </w:r>
      </w:hyperlink>
    </w:p>
    <w:bookmarkEnd w:id="76"/>
    <w:bookmarkStart w:id="78" w:name="ref-liu_analysis_2021"/>
    <w:p>
      <w:pPr>
        <w:pStyle w:val="Bibliography"/>
      </w:pPr>
      <w:r>
        <w:t xml:space="preserve">2.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77">
        <w:r>
          <w:rPr>
            <w:rStyle w:val="Hyperlink"/>
          </w:rPr>
          <w:t xml:space="preserve">https://d.wanfangdata.com.cn/periodical/jfjyxzz202108006</w:t>
        </w:r>
      </w:hyperlink>
    </w:p>
    <w:bookmarkEnd w:id="78"/>
    <w:bookmarkStart w:id="80" w:name="ref-duan_regression_2022"/>
    <w:p>
      <w:pPr>
        <w:pStyle w:val="Bibliography"/>
      </w:pPr>
      <w:r>
        <w:t xml:space="preserve">3.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79">
        <w:r>
          <w:rPr>
            <w:rStyle w:val="Hyperlink"/>
          </w:rPr>
          <w:t xml:space="preserve">https://www.ncbi.nlm.nih.gov/pubmed/35185555</w:t>
        </w:r>
      </w:hyperlink>
    </w:p>
    <w:bookmarkEnd w:id="80"/>
    <w:bookmarkStart w:id="82" w:name="ref-qin_development_2021"/>
    <w:p>
      <w:pPr>
        <w:pStyle w:val="Bibliography"/>
      </w:pPr>
      <w:r>
        <w:t xml:space="preserve">4.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81">
        <w:r>
          <w:rPr>
            <w:rStyle w:val="Hyperlink"/>
          </w:rPr>
          <w:t xml:space="preserve">https://www.researchsquare.com/article/rs-582799/v1</w:t>
        </w:r>
      </w:hyperlink>
    </w:p>
    <w:bookmarkEnd w:id="82"/>
    <w:bookmarkStart w:id="84" w:name="ref-xu_establishment_2023"/>
    <w:p>
      <w:pPr>
        <w:pStyle w:val="Bibliography"/>
      </w:pPr>
      <w:r>
        <w:t xml:space="preserve">5. Xu J, Lu J, Yuan Y, Duan L, Shi L, Chen F, et al.</w:t>
      </w:r>
      <w:r>
        <w:t xml:space="preserve"> </w:t>
      </w:r>
      <w:hyperlink r:id="rId83">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84"/>
    <w:bookmarkStart w:id="86" w:name="ref-peduzzi1995"/>
    <w:p>
      <w:pPr>
        <w:pStyle w:val="Bibliography"/>
      </w:pPr>
      <w:r>
        <w:t xml:space="preserve">6.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85">
        <w:r>
          <w:rPr>
            <w:rStyle w:val="Hyperlink"/>
          </w:rPr>
          <w:t xml:space="preserve">https://www.jclinepi.com/article/0895-4356(95)00048-8/abstract</w:t>
        </w:r>
      </w:hyperlink>
    </w:p>
    <w:bookmarkEnd w:id="86"/>
    <w:bookmarkStart w:id="88" w:name="ref-riley2019"/>
    <w:p>
      <w:pPr>
        <w:pStyle w:val="Bibliography"/>
      </w:pPr>
      <w:r>
        <w:t xml:space="preserve">7.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87">
        <w:r>
          <w:rPr>
            <w:rStyle w:val="Hyperlink"/>
          </w:rPr>
          <w:t xml:space="preserve">https://onlinelibrary.wiley.com/doi/abs/10.1002/sim.7992</w:t>
        </w:r>
      </w:hyperlink>
    </w:p>
    <w:bookmarkEnd w:id="88"/>
    <w:bookmarkStart w:id="90" w:name="ref-zhao_prediction_2024"/>
    <w:p>
      <w:pPr>
        <w:pStyle w:val="Bibliography"/>
      </w:pPr>
      <w:r>
        <w:t xml:space="preserve">8. Zhao X, Peng Q, Hu D, Li W, Ji Q, Dong Q, et al. Prediction of risk factors for linezolid-induced thrombocytopenia based on neural network model. Frontiers in Pharmacology [Internet]. 2024 [cited 2024 Feb 27];15. Available from:</w:t>
      </w:r>
      <w:r>
        <w:t xml:space="preserve"> </w:t>
      </w:r>
      <w:hyperlink r:id="rId89">
        <w:r>
          <w:rPr>
            <w:rStyle w:val="Hyperlink"/>
          </w:rPr>
          <w:t xml:space="preserve">https://www.frontiersin.org/journals/pharmacology/articles/10.3389/fphar.2024.1292828</w:t>
        </w:r>
      </w:hyperlink>
    </w:p>
    <w:bookmarkEnd w:id="90"/>
    <w:bookmarkStart w:id="92" w:name="ref-zyvoxpr"/>
    <w:p>
      <w:pPr>
        <w:pStyle w:val="Bibliography"/>
      </w:pPr>
      <w:r>
        <w:t xml:space="preserve">9. Zyvox prescribing information [Internet]. Available from:</w:t>
      </w:r>
      <w:r>
        <w:t xml:space="preserve"> </w:t>
      </w:r>
      <w:hyperlink r:id="rId91">
        <w:r>
          <w:rPr>
            <w:rStyle w:val="Hyperlink"/>
          </w:rPr>
          <w:t xml:space="preserve">https://labeling.pfizer.com/showlabeling.aspx?id=649</w:t>
        </w:r>
      </w:hyperlink>
    </w:p>
    <w:bookmarkEnd w:id="92"/>
    <w:bookmarkStart w:id="94" w:name="ref-kawasuji_proposal_2021"/>
    <w:p>
      <w:pPr>
        <w:pStyle w:val="Bibliography"/>
      </w:pPr>
      <w:r>
        <w:t xml:space="preserve">10.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93">
        <w:r>
          <w:rPr>
            <w:rStyle w:val="Hyperlink"/>
          </w:rPr>
          <w:t xml:space="preserve">https://doi.org/10.1186/s40360-021-00479-w</w:t>
        </w:r>
      </w:hyperlink>
    </w:p>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77" Target="https://d.wanfangdata.com.cn/periodical/jfjyxzz202108006" TargetMode="External" /><Relationship Type="http://schemas.openxmlformats.org/officeDocument/2006/relationships/hyperlink" Id="rId83" Target="https://doi.org/10.1093/jac/dkad191" TargetMode="External" /><Relationship Type="http://schemas.openxmlformats.org/officeDocument/2006/relationships/hyperlink" Id="rId93" Target="https://doi.org/10.1186/s40360-021-00479-w" TargetMode="External" /><Relationship Type="http://schemas.openxmlformats.org/officeDocument/2006/relationships/hyperlink" Id="rId91" Target="https://labeling.pfizer.com/showlabeling.aspx?id=649" TargetMode="External" /><Relationship Type="http://schemas.openxmlformats.org/officeDocument/2006/relationships/hyperlink" Id="rId87" Target="https://onlinelibrary.wiley.com/doi/abs/10.1002/sim.7992" TargetMode="External" /><Relationship Type="http://schemas.openxmlformats.org/officeDocument/2006/relationships/hyperlink" Id="rId89" Target="https://www.frontiersin.org/journals/pharmacology/articles/10.3389/fphar.2024.1292828" TargetMode="External" /><Relationship Type="http://schemas.openxmlformats.org/officeDocument/2006/relationships/hyperlink" Id="rId85" Target="https://www.jclinepi.com/article/0895-4356(95)00048-8/abstract" TargetMode="External" /><Relationship Type="http://schemas.openxmlformats.org/officeDocument/2006/relationships/hyperlink" Id="rId75" Target="https://www.ncbi.nlm.nih.gov/pubmed/31853741" TargetMode="External" /><Relationship Type="http://schemas.openxmlformats.org/officeDocument/2006/relationships/hyperlink" Id="rId79" Target="https://www.ncbi.nlm.nih.gov/pubmed/35185555" TargetMode="External" /><Relationship Type="http://schemas.openxmlformats.org/officeDocument/2006/relationships/hyperlink" Id="rId81"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77" Target="https://d.wanfangdata.com.cn/periodical/jfjyxzz202108006" TargetMode="External" /><Relationship Type="http://schemas.openxmlformats.org/officeDocument/2006/relationships/hyperlink" Id="rId83" Target="https://doi.org/10.1093/jac/dkad191" TargetMode="External" /><Relationship Type="http://schemas.openxmlformats.org/officeDocument/2006/relationships/hyperlink" Id="rId93" Target="https://doi.org/10.1186/s40360-021-00479-w" TargetMode="External" /><Relationship Type="http://schemas.openxmlformats.org/officeDocument/2006/relationships/hyperlink" Id="rId91" Target="https://labeling.pfizer.com/showlabeling.aspx?id=649" TargetMode="External" /><Relationship Type="http://schemas.openxmlformats.org/officeDocument/2006/relationships/hyperlink" Id="rId87" Target="https://onlinelibrary.wiley.com/doi/abs/10.1002/sim.7992" TargetMode="External" /><Relationship Type="http://schemas.openxmlformats.org/officeDocument/2006/relationships/hyperlink" Id="rId89" Target="https://www.frontiersin.org/journals/pharmacology/articles/10.3389/fphar.2024.1292828" TargetMode="External" /><Relationship Type="http://schemas.openxmlformats.org/officeDocument/2006/relationships/hyperlink" Id="rId85" Target="https://www.jclinepi.com/article/0895-4356(95)00048-8/abstract" TargetMode="External" /><Relationship Type="http://schemas.openxmlformats.org/officeDocument/2006/relationships/hyperlink" Id="rId75" Target="https://www.ncbi.nlm.nih.gov/pubmed/31853741" TargetMode="External" /><Relationship Type="http://schemas.openxmlformats.org/officeDocument/2006/relationships/hyperlink" Id="rId79" Target="https://www.ncbi.nlm.nih.gov/pubmed/35185555" TargetMode="External" /><Relationship Type="http://schemas.openxmlformats.org/officeDocument/2006/relationships/hyperlink" Id="rId81"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 in Vietnamese patients</dc:title>
  <dc:creator/>
  <cp:keywords/>
  <dcterms:created xsi:type="dcterms:W3CDTF">2024-03-27T17:55:14Z</dcterms:created>
  <dcterms:modified xsi:type="dcterms:W3CDTF">2024-03-27T17:55:14Z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Wednesday, March 27,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