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r>
        <w:t xml:space="preserve"> </w:t>
      </w:r>
      <w:r>
        <w:t xml:space="preserve">in</w:t>
      </w:r>
      <w:r>
        <w:t xml:space="preserve"> </w:t>
      </w:r>
      <w:r>
        <w:t xml:space="preserve">Vietnamese</w:t>
      </w:r>
      <w:r>
        <w:t xml:space="preserve"> </w:t>
      </w:r>
      <w:r>
        <w:t xml:space="preserve">patients</w:t>
      </w:r>
    </w:p>
    <w:p>
      <w:pPr>
        <w:pStyle w:val="Date"/>
      </w:pPr>
      <w:r>
        <w:t xml:space="preserve">Saturday,</w:t>
      </w:r>
      <w:r>
        <w:t xml:space="preserve"> </w:t>
      </w:r>
      <w:r>
        <w:t xml:space="preserve">March</w:t>
      </w:r>
      <w:r>
        <w:t xml:space="preserve"> </w:t>
      </w:r>
      <w:r>
        <w:t xml:space="preserve">23,</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t xml:space="preserve">Linezolid is an oxazolidinones antibiotics</w:t>
      </w:r>
      <w:r>
        <w:t xml:space="preserve"> </w:t>
      </w:r>
      <w:r>
        <w:t xml:space="preserve">[1]</w:t>
      </w:r>
      <w:r>
        <w:t xml:space="preserve">.</w:t>
      </w:r>
    </w:p>
    <w:bookmarkEnd w:id="21"/>
    <w:bookmarkEnd w:id="22"/>
    <w:bookmarkStart w:id="47"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Note: 2 periods, convenience sampling (1st), extract from the electronic medical record (except BM1 from physical MR). Infomation was filled out in a paper form and stored in Excel.</w:t>
      </w:r>
    </w:p>
    <w:p>
      <w:pPr>
        <w:pStyle w:val="BodyText"/>
      </w:pPr>
      <w:r>
        <w:t xml:space="preserve">Include 2 publications for BM1 and TN1.</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[2–5]</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[6]</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[7]</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[8]</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0.15.</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at most 20 parameters.</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[5,9,10]</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they have a platelet count that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The value of 5 days has been chosen</w:t>
            </w:r>
            <w:r>
              <w:t xml:space="preserve"> </w:t>
            </w:r>
            <w:r>
              <w:rPr>
                <w:iCs/>
                <w:i/>
              </w:rPr>
              <w:t xml:space="preserve">almost</w:t>
            </w:r>
            <w:r>
              <w:t xml:space="preserve"> </w:t>
            </w:r>
            <w:r>
              <w:t xml:space="preserve">arbitrarily.</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bookmarkEnd w:id="41"/>
    <w:bookmarkEnd w:id="42"/>
    <w:bookmarkStart w:id="44"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Infection diagnosis was recoded into binary variable….</w:t>
      </w:r>
    </w:p>
    <w:p>
      <w:pPr>
        <w:pStyle w:val="BodyText"/>
      </w:pPr>
      <w:r>
        <w:t xml:space="preserve">look up by ID number. Điền thông tin về bệnh mắc kèm, bệnh nhiễm khuẩn và thuốc dùng kèm từ</w:t>
      </w:r>
    </w:p>
    <w:p>
      <w:pPr>
        <w:pStyle w:val="BodyText"/>
      </w:pPr>
      <w:r>
        <w:t xml:space="preserve">1 BN có 2 đợt điều trị -&gt; 2 entry have identical ID number -&gt; manually sort and exclude the 2nd course</w:t>
      </w:r>
      <w:r>
        <w:t xml:space="preserve"> </w:t>
      </w:r>
      <w:r>
        <w:t xml:space="preserve">Cepha, peni và carbapenem.</w:t>
      </w:r>
    </w:p>
    <w:bookmarkEnd w:id="43"/>
    <w:bookmarkEnd w:id="44"/>
    <w:bookmarkStart w:id="45" w:name="data-analysis"/>
    <w:p>
      <w:pPr>
        <w:pStyle w:val="Heading2"/>
      </w:pPr>
      <w:r>
        <w:t xml:space="preserve">3.5 Data analysis</w:t>
      </w:r>
    </w:p>
    <w:bookmarkEnd w:id="45"/>
    <w:bookmarkStart w:id="46" w:name="sensitivity-analysis"/>
    <w:p>
      <w:pPr>
        <w:pStyle w:val="Heading2"/>
      </w:pPr>
      <w:r>
        <w:t xml:space="preserve">3.6 Sensitivity analysis</w:t>
      </w:r>
    </w:p>
    <w:bookmarkEnd w:id="46"/>
    <w:bookmarkEnd w:id="47"/>
    <w:bookmarkStart w:id="54" w:name="results"/>
    <w:p>
      <w:pPr>
        <w:pStyle w:val="Heading1"/>
      </w:pPr>
      <w:r>
        <w:t xml:space="preserve">4. Results</w:t>
      </w:r>
    </w:p>
    <w:bookmarkStart w:id="48" w:name="participants-and-datasets"/>
    <w:p>
      <w:pPr>
        <w:pStyle w:val="Heading2"/>
      </w:pPr>
      <w:r>
        <w:t xml:space="preserve">4.1 Participants and datasets</w:t>
      </w:r>
    </w:p>
    <w:bookmarkEnd w:id="48"/>
    <w:bookmarkStart w:id="49" w:name="risk-of-bias"/>
    <w:p>
      <w:pPr>
        <w:pStyle w:val="Heading2"/>
      </w:pPr>
      <w:r>
        <w:t xml:space="preserve">4.2 Risk of bias</w:t>
      </w:r>
    </w:p>
    <w:bookmarkEnd w:id="49"/>
    <w:bookmarkStart w:id="50" w:name="model-development-and-specification"/>
    <w:p>
      <w:pPr>
        <w:pStyle w:val="Heading2"/>
      </w:pPr>
      <w:r>
        <w:t xml:space="preserve">4.3 Model development and specification</w:t>
      </w:r>
    </w:p>
    <w:bookmarkEnd w:id="50"/>
    <w:bookmarkStart w:id="51" w:name="model-performance"/>
    <w:p>
      <w:pPr>
        <w:pStyle w:val="Heading2"/>
      </w:pPr>
      <w:r>
        <w:t xml:space="preserve">4.4 Model performance</w:t>
      </w:r>
    </w:p>
    <w:bookmarkEnd w:id="51"/>
    <w:bookmarkStart w:id="52" w:name="model-updating"/>
    <w:p>
      <w:pPr>
        <w:pStyle w:val="Heading2"/>
      </w:pPr>
      <w:r>
        <w:t xml:space="preserve">4.5 Model updating</w:t>
      </w:r>
    </w:p>
    <w:bookmarkEnd w:id="52"/>
    <w:bookmarkStart w:id="53" w:name="sensitivity-analysis-1"/>
    <w:p>
      <w:pPr>
        <w:pStyle w:val="Heading2"/>
      </w:pPr>
      <w:r>
        <w:t xml:space="preserve">4.6 Sensitivity analysis</w:t>
      </w:r>
    </w:p>
    <w:bookmarkEnd w:id="53"/>
    <w:bookmarkEnd w:id="54"/>
    <w:bookmarkStart w:id="57" w:name="discussion"/>
    <w:p>
      <w:pPr>
        <w:pStyle w:val="Heading1"/>
      </w:pPr>
      <w:r>
        <w:t xml:space="preserve">5. Discussion</w:t>
      </w:r>
    </w:p>
    <w:bookmarkStart w:id="55" w:name="interpretation"/>
    <w:p>
      <w:pPr>
        <w:pStyle w:val="Heading2"/>
      </w:pPr>
      <w:r>
        <w:t xml:space="preserve">5.1 Interpretation</w:t>
      </w:r>
    </w:p>
    <w:bookmarkEnd w:id="55"/>
    <w:bookmarkStart w:id="56" w:name="implications"/>
    <w:p>
      <w:pPr>
        <w:pStyle w:val="Heading2"/>
      </w:pPr>
      <w:r>
        <w:t xml:space="preserve">5.2 Implications</w:t>
      </w:r>
    </w:p>
    <w:bookmarkEnd w:id="56"/>
    <w:bookmarkEnd w:id="57"/>
    <w:bookmarkStart w:id="82" w:name="other-information"/>
    <w:p>
      <w:pPr>
        <w:pStyle w:val="Heading1"/>
      </w:pPr>
      <w:r>
        <w:t xml:space="preserve">6. Other information</w:t>
      </w:r>
    </w:p>
    <w:bookmarkStart w:id="58" w:name="supplementary-information"/>
    <w:p>
      <w:pPr>
        <w:pStyle w:val="Heading2"/>
      </w:pPr>
      <w:r>
        <w:t xml:space="preserve">6.1 Supplementary information</w:t>
      </w:r>
    </w:p>
    <w:bookmarkEnd w:id="58"/>
    <w:bookmarkStart w:id="59" w:name="funding"/>
    <w:p>
      <w:pPr>
        <w:pStyle w:val="Heading2"/>
      </w:pPr>
      <w:r>
        <w:t xml:space="preserve">6.2 Funding</w:t>
      </w:r>
    </w:p>
    <w:bookmarkEnd w:id="59"/>
    <w:bookmarkStart w:id="81" w:name="references"/>
    <w:p>
      <w:pPr>
        <w:pStyle w:val="Heading2"/>
      </w:pPr>
      <w:r>
        <w:t xml:space="preserve">6.3 References</w:t>
      </w:r>
    </w:p>
    <w:bookmarkStart w:id="80" w:name="refs"/>
    <w:bookmarkStart w:id="61" w:name="ref-cazavet_risk_2020"/>
    <w:p>
      <w:pPr>
        <w:pStyle w:val="Bibliography"/>
      </w:pPr>
      <w:r>
        <w:t xml:space="preserve">1. Cazavet J, Bounes FV, Ruiz S, Seguin T, Crognier L, Rouget A, et al. Risk factor analysis for linezolid-associated thrombocytopenia in critically ill patients. Eur J Clin Microbiol Infect Dis [Internet]. 2020;39:527–38. Available from:</w:t>
      </w:r>
      <w:r>
        <w:t xml:space="preserve"> </w:t>
      </w:r>
      <w:hyperlink r:id="rId60">
        <w:r>
          <w:rPr>
            <w:rStyle w:val="Hyperlink"/>
          </w:rPr>
          <w:t xml:space="preserve">https://www.ncbi.nlm.nih.gov/pubmed/31853741</w:t>
        </w:r>
      </w:hyperlink>
    </w:p>
    <w:bookmarkEnd w:id="61"/>
    <w:bookmarkStart w:id="63" w:name="ref-liu_analysis_2021"/>
    <w:p>
      <w:pPr>
        <w:pStyle w:val="Bibliography"/>
      </w:pPr>
      <w:r>
        <w:t xml:space="preserve">2.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62">
        <w:r>
          <w:rPr>
            <w:rStyle w:val="Hyperlink"/>
          </w:rPr>
          <w:t xml:space="preserve">https://d.wanfangdata.com.cn/periodical/jfjyxzz202108006</w:t>
        </w:r>
      </w:hyperlink>
    </w:p>
    <w:bookmarkEnd w:id="63"/>
    <w:bookmarkStart w:id="65" w:name="ref-duan_regression_2022"/>
    <w:p>
      <w:pPr>
        <w:pStyle w:val="Bibliography"/>
      </w:pPr>
      <w:r>
        <w:t xml:space="preserve">3.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64">
        <w:r>
          <w:rPr>
            <w:rStyle w:val="Hyperlink"/>
          </w:rPr>
          <w:t xml:space="preserve">https://www.ncbi.nlm.nih.gov/pubmed/35185555</w:t>
        </w:r>
      </w:hyperlink>
    </w:p>
    <w:bookmarkEnd w:id="65"/>
    <w:bookmarkStart w:id="67" w:name="ref-qin_development_2021"/>
    <w:p>
      <w:pPr>
        <w:pStyle w:val="Bibliography"/>
      </w:pPr>
      <w:r>
        <w:t xml:space="preserve">4.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66">
        <w:r>
          <w:rPr>
            <w:rStyle w:val="Hyperlink"/>
          </w:rPr>
          <w:t xml:space="preserve">https://www.researchsquare.com/article/rs-582799/v1</w:t>
        </w:r>
      </w:hyperlink>
    </w:p>
    <w:bookmarkEnd w:id="67"/>
    <w:bookmarkStart w:id="69" w:name="ref-xu_establishment_2023"/>
    <w:p>
      <w:pPr>
        <w:pStyle w:val="Bibliography"/>
      </w:pPr>
      <w:r>
        <w:t xml:space="preserve">5. Xu J, Lu J, Yuan Y, Duan L, Shi L, Chen F, et al.</w:t>
      </w:r>
      <w:r>
        <w:t xml:space="preserve"> </w:t>
      </w:r>
      <w:hyperlink r:id="rId68">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69"/>
    <w:bookmarkStart w:id="71" w:name="ref-peduzzi1995"/>
    <w:p>
      <w:pPr>
        <w:pStyle w:val="Bibliography"/>
      </w:pPr>
      <w:r>
        <w:t xml:space="preserve">6.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70">
        <w:r>
          <w:rPr>
            <w:rStyle w:val="Hyperlink"/>
          </w:rPr>
          <w:t xml:space="preserve">https://www.jclinepi.com/article/0895-4356(95)00048-8/abstract</w:t>
        </w:r>
      </w:hyperlink>
    </w:p>
    <w:bookmarkEnd w:id="71"/>
    <w:bookmarkStart w:id="73" w:name="ref-riley2019"/>
    <w:p>
      <w:pPr>
        <w:pStyle w:val="Bibliography"/>
      </w:pPr>
      <w:r>
        <w:t xml:space="preserve">7.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72">
        <w:r>
          <w:rPr>
            <w:rStyle w:val="Hyperlink"/>
          </w:rPr>
          <w:t xml:space="preserve">https://onlinelibrary.wiley.com/doi/abs/10.1002/sim.7992</w:t>
        </w:r>
      </w:hyperlink>
    </w:p>
    <w:bookmarkEnd w:id="73"/>
    <w:bookmarkStart w:id="75" w:name="ref-zhao_prediction_2024"/>
    <w:p>
      <w:pPr>
        <w:pStyle w:val="Bibliography"/>
      </w:pPr>
      <w:r>
        <w:t xml:space="preserve">8. Zhao X, Peng Q, Hu D, Li W, Ji Q, Dong Q, et al. Prediction of risk factors for linezolid-induced thrombocytopenia based on neural network model. Frontiers in Pharmacology [Internet]. 2024 [cited 2024 Feb 27];15. Available from:</w:t>
      </w:r>
      <w:r>
        <w:t xml:space="preserve"> </w:t>
      </w:r>
      <w:hyperlink r:id="rId74">
        <w:r>
          <w:rPr>
            <w:rStyle w:val="Hyperlink"/>
          </w:rPr>
          <w:t xml:space="preserve">https://www.frontiersin.org/journals/pharmacology/articles/10.3389/fphar.2024.1292828</w:t>
        </w:r>
      </w:hyperlink>
    </w:p>
    <w:bookmarkEnd w:id="75"/>
    <w:bookmarkStart w:id="77" w:name="ref-zyvoxpr"/>
    <w:p>
      <w:pPr>
        <w:pStyle w:val="Bibliography"/>
      </w:pPr>
      <w:r>
        <w:t xml:space="preserve">9. Zyvox prescribing information [Internet]. Available from:</w:t>
      </w:r>
      <w:r>
        <w:t xml:space="preserve"> </w:t>
      </w:r>
      <w:hyperlink r:id="rId76">
        <w:r>
          <w:rPr>
            <w:rStyle w:val="Hyperlink"/>
          </w:rPr>
          <w:t xml:space="preserve">https://labeling.pfizer.com/showlabeling.aspx?id=649</w:t>
        </w:r>
      </w:hyperlink>
    </w:p>
    <w:bookmarkEnd w:id="77"/>
    <w:bookmarkStart w:id="79" w:name="ref-kawasuji_proposal_2021"/>
    <w:p>
      <w:pPr>
        <w:pStyle w:val="Bibliography"/>
      </w:pPr>
      <w:r>
        <w:t xml:space="preserve">10.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78">
        <w:r>
          <w:rPr>
            <w:rStyle w:val="Hyperlink"/>
          </w:rPr>
          <w:t xml:space="preserve">https://doi.org/10.1186/s40360-021-00479-w</w:t>
        </w:r>
      </w:hyperlink>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62" Target="https://d.wanfangdata.com.cn/periodical/jfjyxzz202108006" TargetMode="External" /><Relationship Type="http://schemas.openxmlformats.org/officeDocument/2006/relationships/hyperlink" Id="rId68" Target="https://doi.org/10.1093/jac/dkad191" TargetMode="External" /><Relationship Type="http://schemas.openxmlformats.org/officeDocument/2006/relationships/hyperlink" Id="rId78" Target="https://doi.org/10.1186/s40360-021-00479-w" TargetMode="External" /><Relationship Type="http://schemas.openxmlformats.org/officeDocument/2006/relationships/hyperlink" Id="rId76" Target="https://labeling.pfizer.com/showlabeling.aspx?id=649" TargetMode="External" /><Relationship Type="http://schemas.openxmlformats.org/officeDocument/2006/relationships/hyperlink" Id="rId72" Target="https://onlinelibrary.wiley.com/doi/abs/10.1002/sim.7992" TargetMode="External" /><Relationship Type="http://schemas.openxmlformats.org/officeDocument/2006/relationships/hyperlink" Id="rId74" Target="https://www.frontiersin.org/journals/pharmacology/articles/10.3389/fphar.2024.1292828" TargetMode="External" /><Relationship Type="http://schemas.openxmlformats.org/officeDocument/2006/relationships/hyperlink" Id="rId70" Target="https://www.jclinepi.com/article/0895-4356(95)00048-8/abstract" TargetMode="External" /><Relationship Type="http://schemas.openxmlformats.org/officeDocument/2006/relationships/hyperlink" Id="rId60" Target="https://www.ncbi.nlm.nih.gov/pubmed/31853741" TargetMode="External" /><Relationship Type="http://schemas.openxmlformats.org/officeDocument/2006/relationships/hyperlink" Id="rId64" Target="https://www.ncbi.nlm.nih.gov/pubmed/35185555" TargetMode="External" /><Relationship Type="http://schemas.openxmlformats.org/officeDocument/2006/relationships/hyperlink" Id="rId66"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62" Target="https://d.wanfangdata.com.cn/periodical/jfjyxzz202108006" TargetMode="External" /><Relationship Type="http://schemas.openxmlformats.org/officeDocument/2006/relationships/hyperlink" Id="rId68" Target="https://doi.org/10.1093/jac/dkad191" TargetMode="External" /><Relationship Type="http://schemas.openxmlformats.org/officeDocument/2006/relationships/hyperlink" Id="rId78" Target="https://doi.org/10.1186/s40360-021-00479-w" TargetMode="External" /><Relationship Type="http://schemas.openxmlformats.org/officeDocument/2006/relationships/hyperlink" Id="rId76" Target="https://labeling.pfizer.com/showlabeling.aspx?id=649" TargetMode="External" /><Relationship Type="http://schemas.openxmlformats.org/officeDocument/2006/relationships/hyperlink" Id="rId72" Target="https://onlinelibrary.wiley.com/doi/abs/10.1002/sim.7992" TargetMode="External" /><Relationship Type="http://schemas.openxmlformats.org/officeDocument/2006/relationships/hyperlink" Id="rId74" Target="https://www.frontiersin.org/journals/pharmacology/articles/10.3389/fphar.2024.1292828" TargetMode="External" /><Relationship Type="http://schemas.openxmlformats.org/officeDocument/2006/relationships/hyperlink" Id="rId70" Target="https://www.jclinepi.com/article/0895-4356(95)00048-8/abstract" TargetMode="External" /><Relationship Type="http://schemas.openxmlformats.org/officeDocument/2006/relationships/hyperlink" Id="rId60" Target="https://www.ncbi.nlm.nih.gov/pubmed/31853741" TargetMode="External" /><Relationship Type="http://schemas.openxmlformats.org/officeDocument/2006/relationships/hyperlink" Id="rId64" Target="https://www.ncbi.nlm.nih.gov/pubmed/35185555" TargetMode="External" /><Relationship Type="http://schemas.openxmlformats.org/officeDocument/2006/relationships/hyperlink" Id="rId66"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 in Vietnamese patients</dc:title>
  <dc:creator/>
  <cp:keywords/>
  <dcterms:created xsi:type="dcterms:W3CDTF">2024-03-23T15:39:47Z</dcterms:created>
  <dcterms:modified xsi:type="dcterms:W3CDTF">2024-03-23T15:39:47Z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Saturday, March 23,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