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rFonts w:ascii="Arial" w:cs="Arial" w:eastAsia="黑体" w:hAnsi="Arial"/>
          <w:b/>
          <w:bCs/>
          <w:sz w:val="32"/>
          <w:szCs w:val="32"/>
        </w:rPr>
        <w:t xml:space="preserve">2.1　行业背景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本节先概述内核设计资料中的技术路线脉络，再结合国内外权威机构近年发布的统计数据与研究报告，概述人工智能与知识工程领域的发展现状、业务流程变化及产业升级需求，并说明本项目所处的技术位置。全文数据均标注来源机构与发布年份，完整清单见文末“数据来源”。</w:t>
      </w:r>
    </w:p>
    <w:p>
      <w:pPr>
        <w:pStyle w:val="Heading2"/>
      </w:pPr>
      <w:r>
        <w:t xml:space="preserve">一、技术路线背景（学术脉络）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学术界对通往通用人工智能（AGI）的探索大体沿三条相互交叉的路线展开：通用人工智能的总路线反思、以符号推理为核心的符号主义路线，以及对公理体系持批判态度的非公理逻辑系统路线。本项目正立足于此三条脉络之间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通用人工智能路线从两个角度界定“通用”。其一是哲学角度，围绕认识论（学习与知识应用能力）、意识与主观体验、意义理解与意向性三类标准展开，其中胡塞尔《逻辑研究》一脉与描述逻辑、纳斯（NARS）非公理推理系统彼此交汇；其二是生产实践角度，以泛化成本与产业赋能为考量，强调系统能否在更多产业中低成本地复用与生产知识。当前以语言大模型为代表的联结主义路线在平台化服务上进展显著，但在哲学意义上的“通用”与知识的可持续生产上仍存明显短板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符号主义路线自早期推理引擎与概率模型起步，历经专家系统与形式逻辑的发展，在二十一世纪初由描述逻辑（ALC 等）体系完成了形式逻辑到商业应用的关键一步，其后以知识图谱为主导的数据挖掘工具快速兴起。该路线的核心困境在于：一旦依赖既定规则与数理模型，泛化能力便难以延伸到实用层面；而在大模型盛行之后，符号装置又重新因“可解释、可推理”的朴素特性受到关注，如何以大模型赋能传统符号系统由此成为新的结合方向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非公理逻辑系统路线对公理推理体系作了彻底性批判，以王培教授提出的纳斯系统（NARS）为实用代表；其现实困境在于内部理论尚不完备，且到商业应用的跨度过大。对此，“哲学引擎”思路提出两点关键要求：一是“引擎”须能自由支撑各种推理逻辑的执行，保证求解的完备性与泛化能力；二是“自举”须将引擎的管理功能交由内部推理完成，使其能随系统迭代而调整，而不被固定设计所束缚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本项目即立足上述脉络：以集合论“元素—集合—映射（E-S-M）”为最小原子，保证底层的完备性与泛化能力；以“零轮询机”作为驱动知识执行的虚拟机、以问答流图编排问题的分解与执行；以解决方案实现问答流图的子图替换；并在描述逻辑与胡塞尔意向性之上建立知识表示与推理的理论支撑。其目标是以符号推理的确定性与可解释性，承接产业界对可信、可执行、可审计知识系统的需求（行业数据见下文）。</w:t>
      </w:r>
    </w:p>
    <w:p>
      <w:pPr>
        <w:pStyle w:val="Heading2"/>
      </w:pPr>
      <w:r>
        <w:t xml:space="preserve">二、行业发展现状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人工智能已由技术探索阶段进入规模化产业投入阶段。国际数据公司（IDC）《全球人工智能和生成式人工智能支出指南》显示，2024 年全球人工智能（AI）IT 总投资规模为 3,159 亿美元，预计 2029 年将增至 12,619 亿美元，五年复合增长率（CAGR）达 31.9%；其中生成式人工智能的增速更快，五年复合增长率约 56.3%，2029 年市场规模预计达 6,071 亿美元，占人工智能投资总规模的 48.1%（IDC，2025 年）。产业投入的高速扩张，对底层知识的表示、推理与可管理能力提出了同步要求。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在此背景下，以知识图谱为代表的结构化知识技术重新成为产业关注重点。MarketsandMarkets 测算，全球知识图谱市场规模将由 2024 年的 10.68 亿美元增至 2030 年的 69.38 亿美元，复合年增长率 36.6%；其增长动因包括生成式人工智能对可信知识供给的需求、数据规模与复杂度的快速上升以及语义检索的普及，而主要制约因素集中于专业人才与认知不足、数据质量与标准化、可扩展性等方面（MarketsandMarkets，2025 年）。与此同时，学术界对“神经符号人工智能”（Neuro-Symbolic AI，即把深度学习的感知与学习能力同符号系统的推理能力相结合）的系统性研究自 2020 年以来快速增长，被视为兼顾学习能力、推理可靠性与可解释性的主要方向，但在可解释性、可信性与元认知等环节仍存在明显空白（Colelough &amp; Regli，2025 年）。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在企业侧，知识管理正在由文档存储转向知识资产的系统化运营。《2024 中国知识管理调查报告》显示，约 70% 的受访企业已开展系统性知识管理实践，约 81% 已部署沟通学习工具或专门的知识管理系统，其中 45% 为自研、22% 为采购商业方案（2024 年）；相关研究将当前阶段概括为“智能知识库 2.0”，即以大模型承担知识整合与意图理解，以知识图谱与检索增强生成保障可信性（爱分析，2024 年）。但知识分散、口径不一、难以定位与复用等问题仍普遍存在。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与上述趋势并行的是企业软件系统规模的持续膨胀。美国软件质量信息联盟（CISQ）估算，2022 年美国因软件质量不佳造成的年度成本至少为 2.41 万亿美元，累计软件技术债约 1.52 万亿美元，较 2020 年增长约 16%，其中运行故障约 1.56 万亿美元、失败项目约 2,600 亿美元（CISQ，2022 年）。“系统越叠越多、越改越难”已成为企业信息化与智能化进程的共同约束。</w:t>
      </w:r>
    </w:p>
    <w:p>
      <w:pPr>
        <w:pStyle w:val="Heading2"/>
      </w:pPr>
      <w:r>
        <w:t xml:space="preserve">三、业务流程变化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业务流程的组织方式正在发生结构性变化。中国信息通信研究院指出，数字化转型正“从单点效率提升转向系统性变革”，人工智能驱动的数字化转型进入规模化应用阶段；2013—2024 年，我国数字经济全要素生产率对经济增长的贡献率由 16.30% 上升至 23.75%，测算表明数字化投入每提升 1%，主营业务成本率下降 9.17%、成本费用利润率提高 6.71%（中国信通院，2025 年）。可见，业务价值的来源已由单点工具效率转向全流程、全要素的协同优化。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与之相适应，业务应用的构建方式明显下沉。Gartner 预测，到 2025 年企业新开发的应用中有 70% 将采用低代码或无代码技术，而 2020 年这一比例尚不足 25%；同期超过 95% 的新数字工作负载将部署于云原生平台（2021 年该比例仅为 30%）（Gartner，2021 年）。在中国市场，IDC 统计 2024 年低代码与零代码软件市场规模为 40.3 亿元人民币，预计 2029 年将达 129.8 亿元，五年复合增长率 26.4%（IDC，2025 年）。“由业务人员组装应用、由平台提供能力”正在成为常态。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交付形态亦由项目制定制开发向平台化、可编排、可复用的能力供给转变。应用不再只是被“写出来”的代码，而是可被组合、编排并持续演进的知识与流程资产。这一变化对底层的知识组织方式提出了更高要求：既需要统一、明确的结构表示，也需要可执行、可验证的编排机制。</w:t>
      </w:r>
    </w:p>
    <w:p>
      <w:pPr>
        <w:pStyle w:val="Heading2"/>
      </w:pPr>
      <w:r>
        <w:t xml:space="preserve">四、产业升级需求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第一，可信与可解释成为硬性约束。大语言模型在事实性上的不确定性（通常称为“幻觉”）被普遍视为制约其进入专业场景的关键瓶颈：相关综述指出，幻觉既损害系统性能，也影响可信性与合规性，并提出以知识库与大模型融合提升可解释性与事实性的路径（《软件学报》，2024 年）；香港大学经管学院对 37 个中美主流大语言模型的幻觉控制能力测评显示，不同模型在事实性与指令一致性方面差异显著（2025 年）；相关研究亦从机理层面论证了模型幻觉率存在下限（OpenAI，2025 年）。在医疗、金融、政务、工业等场景中，“可追溯、可审计、结论可复现”已成为技术选型的前提条件。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第二，从概念验证到规模化生产的转化率不足，倒逼技术路线走向稳健。Gartner 预测，到 2025 年底至少有 30% 的生成式人工智能项目将在概念验证后被放弃，原因包括数据质量差、风险控制不足、成本上升与业务价值不明确，单个部署方案成本可达 500 万至 2,000 万美元（Gartner，2024 年）；到 2027 年末，预计超过 40% 的代理型（Agentic）AI 项目将被取消（Gartner，2025 年）。产业界因此更需要以确定性推理与结构化知识为核心、成本可控且可渐进落地的技术路线。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第三，知识作为生产要素的地位上升，降本增效成为普遍诉求。2024 年我国数字经济规模达 59.2 万亿元，占 GDP 比重 43.8%（中国信通院，2025 年）；国家统计局核算的全国数字经济核心产业增加值为 140,891 亿元，占 GDP 的 10.5%（国家统计局，2025 年）。在这一进程中，如何把分散于文档、流程与人员经验中的知识沉淀为可复用、可演进的资产，是企业转型升级的关键命题。</w:t>
      </w:r>
    </w:p>
    <w:p>
      <w:pPr>
        <w:spacing w:after="120" w:line="360"/>
        <w:ind w:firstLine="420"/>
      </w:pPr>
      <w:r>
        <w:rPr>
          <w:rFonts w:ascii="Times New Roman" w:cs="Times New Roman" w:eastAsia="宋体" w:hAnsi="Times New Roman"/>
          <w:sz w:val="21"/>
          <w:szCs w:val="21"/>
        </w:rPr>
        <w:t xml:space="preserve">第四，专业人才与标准化缺口构成现实约束。知识图谱领域的推广障碍被归结为专业人才与认知不足、标准化与互操作性欠缺（MarketsandMarkets，2025 年）。这意味着，具备清晰概念体系、易于被工程团队理解与复用的知识表示方法，往往比单纯追求模型规模更具产业价值。</w:t>
      </w:r>
    </w:p>
    <w:p>
      <w:pPr>
        <w:pStyle w:val="Heading2"/>
      </w:pPr>
      <w:r>
        <w:t xml:space="preserve">五、与本项目相关的行业趋势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Times New Roman" w:cs="Times New Roman" w:eastAsia="宋体" w:hAnsi="Times New Roman"/>
          <w:sz w:val="21"/>
          <w:szCs w:val="21"/>
        </w:rPr>
        <w:t xml:space="preserve">神经符号融合成为共识方向。本项目以“元素—集合—映射”（Element / Set / Map）为最小原子，以超索引组织知识库，以图结构编排解决方案，属于以确定性符号推理为核心、并可逐步与学习型模型对接的技术路线，与上述“神经符号人工智能”的发展方向一致。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Times New Roman" w:cs="Times New Roman" w:eastAsia="宋体" w:hAnsi="Times New Roman"/>
          <w:sz w:val="21"/>
          <w:szCs w:val="21"/>
        </w:rPr>
        <w:t xml:space="preserve">知识从“可检索”走向“可执行”。产业需求已不止于文档检索与问答，而是要求知识可组合、可执行、可验证；本项目以解决方案脚本语言将知识单元编排为可运行的图，直接面向“可执行知识”这一方向。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Times New Roman" w:cs="Times New Roman" w:eastAsia="宋体" w:hAnsi="Times New Roman"/>
          <w:sz w:val="21"/>
          <w:szCs w:val="21"/>
        </w:rPr>
        <w:t xml:space="preserve">全链路可解释与可审计成为刚需。本项目中的每一次操作均为显式映射调用，过程可见、可追踪、可回放，契合医疗、金融、工业等强合规场景对可解释性与可审计性的要求。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Times New Roman" w:cs="Times New Roman" w:eastAsia="宋体" w:hAnsi="Times New Roman"/>
          <w:sz w:val="21"/>
          <w:szCs w:val="21"/>
        </w:rPr>
        <w:t xml:space="preserve">构建门槛持续下降，工具链要求同步提高。呼应低代码/无代码的普及趋势，本项目配套脚本语言工具链（语法高亮、结构校验、常数展开等），以降低使用门槛并提升编写质量。</w:t>
      </w:r>
    </w:p>
    <w:p>
      <w:pPr>
        <w:pStyle w:val="ListParagraph"/>
        <w:numPr>
          <w:ilvl w:val="0"/>
          <w:numId w:val="2"/>
        </w:numPr>
        <w:spacing w:after="100" w:line="340"/>
      </w:pPr>
      <w:r>
        <w:rPr>
          <w:rFonts w:ascii="Times New Roman" w:cs="Times New Roman" w:eastAsia="宋体" w:hAnsi="Times New Roman"/>
          <w:sz w:val="21"/>
          <w:szCs w:val="21"/>
        </w:rPr>
        <w:t xml:space="preserve">与存量系统集成、避免叠加新的技术债。项目以接口与插件方式对外提供能力，前端与内核之间采用可替换接口层，便于在既有环境中渐进式落地，而非推倒重建。</w:t>
      </w:r>
    </w:p>
    <w:p>
      <w:pPr>
        <w:pStyle w:val="Heading2"/>
      </w:pPr>
      <w:r>
        <w:t xml:space="preserve">六、数据来源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700"/>
        <w:gridCol w:w="2900"/>
        <w:gridCol w:w="3726"/>
      </w:tblGrid>
      <w:tr>
        <w:trPr>
          <w:tblHeader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序号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来源机构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报告 / 文献（年份）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/>
                <w:bCs/>
                <w:sz w:val="18"/>
                <w:szCs w:val="18"/>
              </w:rPr>
              <w:t xml:space="preserve">文中引用要点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IDC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《全球人工智能和生成式人工智能支出指南》（2025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2024 年全球 AI IT 总投资 3,159 亿美元，预计 2029 年达 12,619 亿美元，CAGR 31.9%；生成式 AI 2029 年约 6,071 亿美元，CAGR 约 56.3%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MarketsandMarkets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Knowledge Graph Market—Global Forecast to 2030（2025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全球知识图谱市场 2024 年 10.68 亿美元，2030 年 69.38 亿美元，CAGR 36.6%；人才与标准化为主要挑战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中国信息通信研究院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《中国数字经济发展研究报告（2025 年）》（2026 年发布）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2024 年我国数字经济规模 59.2 万亿元、占 GDP 43.8%；数字经济全要素生产率贡献率由 16.30% 升至 23.75%；数字化投入每提升 1%，主营业务成本率下降 9.17%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国家统计局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数字经济核心产业增加值核算数据（2025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2024 年全国数字经济核心产业增加值 140,891 亿元，占 GDP 10.5%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Gartner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生成式 AI 项目放弃率预测（2024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到 2025 年底至少 30% 的生成式 AI 项目将在概念验证后被放弃；单个部署方案成本 500 万至 2,000 万美元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Gartner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代理型 AI 项目取消率预测（2025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到 2027 年末，预计超过 40% 的代理型（Agentic）AI 项目将被取消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Gartner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低代码/无代码与云原生技术预测（2021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到 2025 年 70% 的新应用将采用低代码或无代码技术（2020 年不足 25%）；超过 95% 的新数字工作负载部署于云原生平台（2021 年为 30%）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IDC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《2024 下半年中国低代码与零代码软件市场跟踪报告》（2025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2024 年中国低代码与零代码软件市场规模 40.3 亿元，预计 2029 年达 129.8 亿元，CAGR 26.4%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CISQ（美国软件质量信息联盟）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The Cost of Poor Software Quality in the US: A 2022 Report（2022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美国因软件质量不佳的年度成本至少 2.41 万亿美元；累计软件技术债约 1.52 万亿美元，较 2020 年增长约 16%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《软件学报》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《大语言模型的幻觉问题研究综述》（2024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系统梳理大模型幻觉的成因、评估与缓解方法，提出与知识库融合以提升可解释性与事实性的路径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OpenAI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Why Language Models Hallucinate（2025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从机理层面论证模型幻觉率存在下限，提出结合检索与置信度目标的缓解思路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香港大学经管学院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《大语言模型幻觉控制能力测评报告》（2025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对 37 个中美主流大语言模型的事实性与忠实性幻觉控制能力开展评测，模型间差异显著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达观数据（引用）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《2024 中国知识管理调查报告》（2024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约 70% 的受访企业已开展系统性知识管理实践；约 81% 已部署沟通学习工具或专门的知识管理系统</w:t>
            </w:r>
          </w:p>
        </w:tc>
      </w:tr>
      <w:tr>
        <w:trPr>
          <w:tblHeader w:val="off"/>
        </w:trPr>
        <w:tc>
          <w:tcPr>
            <w:tcW w:type="dxa" w:w="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1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爱分析</w:t>
            </w:r>
          </w:p>
        </w:tc>
        <w:tc>
          <w:tcPr>
            <w:tcW w:type="dxa" w:w="29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《2024·大模型+知识库厂商全景报告》（2024 年）</w:t>
            </w:r>
          </w:p>
        </w:tc>
        <w:tc>
          <w:tcPr>
            <w:tcW w:type="dxa" w:w="37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line="280"/>
              <w:jc w:val="left"/>
            </w:pPr>
            <w:r>
              <w:rPr>
                <w:rFonts w:ascii="Times New Roman" w:cs="Times New Roman" w:eastAsia="宋体" w:hAnsi="Times New Roman"/>
                <w:b w:val="false"/>
                <w:bCs w:val="false"/>
                <w:sz w:val="18"/>
                <w:szCs w:val="18"/>
              </w:rPr>
              <w:t xml:space="preserve">企业知识库进入“智能知识库 2.0”阶段，金融、政务、电信行业率先落地</w:t>
            </w:r>
          </w:p>
        </w:tc>
      </w:tr>
    </w:tbl>
    <w:p>
      <w:pPr>
        <w:spacing w:after="100" w:line="320"/>
      </w:pPr>
      <w:r>
        <w:rPr>
          <w:rFonts w:ascii="Times New Roman" w:cs="Times New Roman" w:eastAsia="宋体" w:hAnsi="Times New Roman"/>
          <w:color w:val="595959"/>
          <w:sz w:val="19"/>
          <w:szCs w:val="19"/>
        </w:rPr>
        <w:t xml:space="preserve">说明：以上数据引自各机构公开发布的报告摘要、新闻稿或论文摘要，括号内为发布机构与年份；具体统计口径与完整结论以原始报告为准。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宋体" w:hAnsi="Times New Roman"/>
        <w:color w:val="808080"/>
        <w:sz w:val="18"/>
        <w:szCs w:val="18"/>
      </w:rPr>
      <w:t xml:space="preserve">— </w:t>
      <w:fldChar w:fldCharType="begin"/>
      <w:instrText xml:space="preserve">PAGE</w:instrText>
      <w:fldChar w:fldCharType="separate"/>
      <w:fldChar w:fldCharType="end"/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宋体" w:hAnsi="Times New Roman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黑体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00"/>
      <w:outlineLvl w:val="1"/>
    </w:pPr>
    <w:rPr>
      <w:rFonts w:ascii="Arial" w:cs="Arial" w:eastAsia="黑体" w:hAnsi="Arial"/>
      <w:b/>
      <w:bCs/>
      <w:color w:val="00000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2026-10-16T09:40:19.850Z</dcterms:created>
  <dcterms:modified xsi:type="dcterms:W3CDTF">2026-10-16T09:40:19.850Z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