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Gap Analysis – Lab 1 baseline vs. Mini-Project Part-1</w:t>
      </w:r>
    </w:p>
    <w:p>
      <w:r>
        <w:rPr/>
        <w:t xml:space="preserve">Baseline files (kept unchanged in the repository root): </w:t>
      </w:r>
      <w:r>
        <w:rPr>
          <w:rFonts w:ascii="Consolas" w:hAnsi="Consolas"/>
        </w:rPr>
        <w:t>Requirements_Table.docx</w:t>
      </w:r>
      <w:r>
        <w:rPr/>
        <w:t xml:space="preserve">, </w:t>
      </w:r>
      <w:r>
        <w:rPr>
          <w:rFonts w:ascii="Consolas" w:hAnsi="Consolas"/>
        </w:rPr>
        <w:t>UseCase_Flow_Specification.docx</w:t>
      </w:r>
      <w:r>
        <w:rPr/>
        <w:t xml:space="preserve">, </w:t>
      </w:r>
      <w:r>
        <w:rPr>
          <w:rFonts w:ascii="Consolas" w:hAnsi="Consolas"/>
        </w:rPr>
        <w:t>UML_UseCase_Diagram.pdf</w:t>
      </w:r>
      <w:r>
        <w:rPr/>
        <w:t>. No source code exists in the repository.</w:t>
      </w:r>
    </w:p>
    <w:p>
      <w:pPr>
        <w:pStyle w:val="Heading2"/>
      </w:pPr>
      <w:r>
        <w:rPr/>
        <w:t>1. EXISTING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FR-001…FR-005 and NFR-001, NFR-002 with type, priority, acceptance criteria, rationale (Lab 1 mandated exactly these 5 + 2).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Use case flow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UC-03 Reserve Equipment Slot: preconditions, postconditions, 8-step main flow, alternate flows A1 (calibration) and A2 (slot conflict).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UML use-case diagram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Actors Student, Lab Technician, Notification System; 12 use cases; 3 «include» from Reserve Equipment Slot, 1 «extend» (Apply Late-Return Penalty → Return Equipment).</w:t>
            </w:r>
          </w:p>
        </w:tc>
      </w:tr>
    </w:tbl>
    <w:p/>
    <w:p>
      <w:pPr>
        <w:pStyle w:val="Heading2"/>
      </w:pPr>
      <w:r>
        <w:rPr/>
        <w:t>2. MISSING (required by the Part-1 assignment)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Assignment item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Status before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IEEE-style SRS with introduction, FR, NFR, interfaces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missing → </w:t>
            </w:r>
            <w:r>
              <w:rPr>
                <w:rFonts w:ascii="Consolas" w:hAnsi="Consolas"/>
                <w:sz w:val="17"/>
              </w:rPr>
              <w:t>SRS.md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Security objectives (≥ 2) and requirements (≥ 2)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missing → SRS §4 (4 objectives, 7 requirements)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IEEE-style Test Plan, sections 3, 4, 5, §5.1 Security Validation, traceability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missing → </w:t>
            </w:r>
            <w:r>
              <w:rPr>
                <w:rFonts w:ascii="Consolas" w:hAnsi="Consolas"/>
                <w:sz w:val="17"/>
              </w:rPr>
              <w:t>Test_Plan.md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≥ 7–10 test cases covering FR and NFR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missing → 25 test cases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Architecture: component diagram + description, pattern, traceability, security architecture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missing → Architecture §2–§7, Figure 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Design: ≥ 2 sequence diagrams, API design, error handling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missing → Design §8–§11, Figures 3–4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IDs for use cases other than UC-03; use-case descriptions for the rest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missing → UC-01…UC-12 assigned and described</w:t>
            </w:r>
          </w:p>
        </w:tc>
      </w:tr>
    </w:tbl>
    <w:p/>
    <w:p>
      <w:pPr>
        <w:pStyle w:val="Heading2"/>
      </w:pPr>
      <w:r>
        <w:rPr/>
        <w:t>3. NEEDS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Existing material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Problem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Resolution (intent preserved)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Diagram vs. FR-004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Diagram links </w:t>
            </w:r>
            <w:r>
              <w:rPr>
                <w:b/>
                <w:sz w:val="17"/>
              </w:rPr>
              <w:t>Student</w:t>
            </w:r>
            <w:r>
              <w:rPr>
                <w:sz w:val="17"/>
              </w:rPr>
              <w:t xml:space="preserve"> to </w:t>
            </w:r>
            <w:r>
              <w:rPr>
                <w:i/>
                <w:sz w:val="17"/>
              </w:rPr>
              <w:t>Return Equipment</w:t>
            </w:r>
            <w:r>
              <w:rPr>
                <w:sz w:val="17"/>
              </w:rPr>
              <w:t>, but FR-004 says a Lab Technician marks the return.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Association removed in the redrawn diagram; documented in SRS §5.1.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Diagram vs. requirements</w:t>
            </w:r>
          </w:p>
        </w:tc>
        <w:tc>
          <w:tcPr>
            <w:tcW w:type="dxa" w:w="2484"/>
          </w:tcPr>
          <w:p>
            <w:r/>
            <w:r>
              <w:rPr>
                <w:i/>
                <w:sz w:val="17"/>
              </w:rPr>
              <w:t>Login</w:t>
            </w:r>
            <w:r>
              <w:rPr>
                <w:sz w:val="17"/>
              </w:rPr>
              <w:t xml:space="preserve">, </w:t>
            </w:r>
            <w:r>
              <w:rPr>
                <w:i/>
                <w:sz w:val="17"/>
              </w:rPr>
              <w:t>View Reservation History</w:t>
            </w:r>
            <w:r>
              <w:rPr>
                <w:sz w:val="17"/>
              </w:rPr>
              <w:t xml:space="preserve">, </w:t>
            </w:r>
            <w:r>
              <w:rPr>
                <w:i/>
                <w:sz w:val="17"/>
              </w:rPr>
              <w:t>Update Calibration Status</w:t>
            </w:r>
            <w:r>
              <w:rPr>
                <w:sz w:val="17"/>
              </w:rPr>
              <w:t xml:space="preserve"> and </w:t>
            </w:r>
            <w:r>
              <w:rPr>
                <w:i/>
                <w:sz w:val="17"/>
              </w:rPr>
              <w:t>Send Confirmation Notification</w:t>
            </w:r>
            <w:r>
              <w:rPr>
                <w:sz w:val="17"/>
              </w:rPr>
              <w:t xml:space="preserve"> have no requirement (NFR-002 mentions calibration update only as a restriction).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Added FR-006, FR-007, FR-008, FR-009 (marked [NEW]).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 precondition "no conflicting reservation for the same time slot"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Not backed by a requirement.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Added FR-010.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"real-time availability" is not measurable; one sentence bundles viewing, reserving, limits, token.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Kept ID and intent; reworded: availability reflects all Confirmed reservations; limits stated as 120 min / 7 days / overlap; marked [REFINED].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Bundles latency and lock isolation; "peak load" and "security standards" undefined → untestable as written.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Latency kept as NFR-001 (≤ 200 ms, load = test parameter A-03); isolation outcome split into NFR-003; "security standards" dropped (covered by SEC-REQs).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Fine as a requirement but combines RBAC and session expiry.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Kept unchanged; derived SEC-REQ-01 and SEC-REQ-02 so each half has its own test.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"up to 1 hour before" ambiguous at exactly 60 min.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Assumption A-04 (inclusive), boundary test TC-07.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Which reservation states can be returned is unstated.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 xml:space="preserve">Only Confirmed (Design §9, 409 </w:t>
            </w:r>
            <w:r>
              <w:rPr>
                <w:rFonts w:ascii="Consolas" w:hAnsi="Consolas"/>
                <w:sz w:val="17"/>
              </w:rPr>
              <w:t>INVALID_RESERVATION_STATE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Secondary actor "Lab Technician" has no step in the main flow; flow ends at A2 with no invalid-session/input, student-overlap or notification-failure paths.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Technician listing kept (fidelity) and footnoted; A3, A4 and E1 added and marked as Part-1 additions.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 step 5/7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The overlap check and the lock are separate steps.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Design performs them atomically in one transaction (DD-02) – same observable behaviour, needed for NFR-003.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Diagram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No use-case IDs.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UC-01…UC-12 assigned (UC-03 retained from the Lab 1 specification).</w:t>
            </w:r>
          </w:p>
        </w:tc>
      </w:tr>
    </w:tbl>
    <w:p/>
    <w:p>
      <w:pPr>
        <w:pStyle w:val="Heading2"/>
      </w:pPr>
      <w:r>
        <w:rPr/>
        <w:t>4. Information that Lab 1 does not provide (assumptions A-01…A-12 in SRS §2.6)</w:t>
      </w:r>
    </w:p>
    <w:p>
      <w:r>
        <w:rPr/>
        <w:t>Technology stack; definition of "peak load"; slot granularity / minimum duration; behaviour on notification failure; deletion of equipment with future reservations; whether the due date changes status automatically; deployment security (HTTPS). Each was resolved with a labelled assumption – none is stated as fact – and should be confirmed with the instructor.</w:t>
      </w:r>
    </w:p>
    <w:p>
      <w:pPr>
        <w:pStyle w:val="Heading2"/>
      </w:pPr>
      <w:r>
        <w:rPr/>
        <w:t>5. Final audit (strict-evaluator pass) – problems found and what was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Finding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FR-001 and FR-002 bundled several verifiable statements in one sentence (not atomic).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Kept the IDs; rewrote them as clauses (a)–(e) and (a)–(c) with a per-clause pass criterion; tests now name the clause they cover.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New requirements FR-006…FR-010, NFR-003 did not state where they came from.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Added a </w:t>
            </w:r>
            <w:r>
              <w:rPr>
                <w:i/>
                <w:sz w:val="17"/>
              </w:rPr>
              <w:t>Status / basis</w:t>
            </w:r>
            <w:r>
              <w:rPr>
                <w:sz w:val="17"/>
              </w:rPr>
              <w:t xml:space="preserve"> column naming the Lab 1 source (diagram use case, UC-03 step/precondition, or the split of NFR-001).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Several security requirements were not in Lab 1 and looked invented.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Added a </w:t>
            </w:r>
            <w:r>
              <w:rPr>
                <w:i/>
                <w:sz w:val="17"/>
              </w:rPr>
              <w:t>Basis</w:t>
            </w:r>
            <w:r>
              <w:rPr>
                <w:sz w:val="17"/>
              </w:rPr>
              <w:t xml:space="preserve"> column; marked SEC-REQ-03, 05, 06, 07 as </w:t>
            </w:r>
            <w:r>
              <w:rPr>
                <w:i/>
                <w:sz w:val="17"/>
              </w:rPr>
              <w:t>Proposed</w:t>
            </w:r>
            <w:r>
              <w:rPr>
                <w:sz w:val="17"/>
              </w:rPr>
              <w:t xml:space="preserve"> with the reason; kept only requirements tied to a Lab 1 use case or NFR-002.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SEC-REQ-04 combined three obligations.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Split: SEC-REQ-04 (401 without a session) and SEC-REQ-07 (generic login error, no plain-text credentials); tests and matrix updated.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FR-010 read the UC-03 precondition one specific way without saying so.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Added assumption A-14 and the condition under which FR-010/TC-15 would be dropped.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"Relational database" was stated as fact; Lab 1 only says "database-level lock isolation".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Reworded to "database with transactions and locking (relational assumed – A-13)".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Documents claimed to follow IEEE Std 830/829/1016 formally.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Replaced by "IEEE-style structure as requested by the assignment; no formal compliance claimed".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Coverage gaps: availability display / filters (FR-001(a)) and equipment removal with future reservations (A-07) had no dedicated test; test data lacked the accounts needed by TC-16/17 and equipment EQ-05 for TC-05.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Added TC-24, TC-25 (suite is now 25); extended test data (§7).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API section did not say why an API exists or which endpoints are additions.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§9 now cites NFR-002 ("endpoints") and marks endpoints 10 and 12 as the only design additions.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Component diagram: the </w:t>
            </w:r>
            <w:r>
              <w:rPr>
                <w:i/>
                <w:sz w:val="17"/>
              </w:rPr>
              <w:t>ILog</w:t>
            </w:r>
            <w:r>
              <w:rPr>
                <w:sz w:val="17"/>
              </w:rPr>
              <w:t xml:space="preserve"> arrow from the services package suggested all four services log, while the table says three.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Caption and §4.2 now state exactly which components use each interface.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Diagram text was too small when printed (sequence diagram with 8 participants on a portrait page).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UC-03 split into two readable parts (SD-01 part 1 / part 2); all figures are on landscape pages with larger fonts.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Authorization-path arrow crossed another arrow in the component diagram.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Re-routed.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PDF/DOCX defects found on a page-by-page read: empty shaded first row in the document-info tables, the SRS security table rendered as raw text, headings stranded before landscape figures, figures printed small, a stray control character before a figure.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Fixed in the SRS table markup and in </w:t>
            </w:r>
            <w:r>
              <w:rPr>
                <w:rFonts w:ascii="Consolas" w:hAnsi="Consolas"/>
                <w:sz w:val="17"/>
              </w:rPr>
              <w:t>build_docs.py</w:t>
            </w:r>
            <w:r>
              <w:rPr>
                <w:sz w:val="17"/>
              </w:rPr>
              <w:t>; headings now sit on the same landscape page as their figure; PDFs and DOCX rebuilt and re-checked (no raw Markdown, no near-empty pages except one section-lead page).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draw.io files had unconnected arrows.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 xml:space="preserve">In the use-case and component </w:t>
            </w:r>
            <w:r>
              <w:rPr>
                <w:rFonts w:ascii="Consolas" w:hAnsi="Consolas"/>
                <w:sz w:val="17"/>
              </w:rPr>
              <w:t>.drawio</w:t>
            </w:r>
            <w:r>
              <w:rPr>
                <w:sz w:val="17"/>
              </w:rPr>
              <w:t xml:space="preserve"> files, arrows whose ends touch a shape are now attached to it (verified by re-rendering in draw.io). Sequence diagrams keep free-standing message arrows.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