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Gap Analysis – Lab 1 baseline vs. Mini-Project Part-1</w:t>
      </w:r>
    </w:p>
    <w:p>
      <w:r>
        <w:rPr/>
        <w:t xml:space="preserve">Baseline files (kept unchanged in the repository root): </w:t>
      </w:r>
      <w:r>
        <w:rPr>
          <w:rFonts w:ascii="Consolas" w:hAnsi="Consolas"/>
        </w:rPr>
        <w:t>Requirements_Table.docx</w:t>
      </w:r>
      <w:r>
        <w:rPr/>
        <w:t xml:space="preserve">, </w:t>
      </w:r>
      <w:r>
        <w:rPr>
          <w:rFonts w:ascii="Consolas" w:hAnsi="Consolas"/>
        </w:rPr>
        <w:t>UseCase_Flow_Specification.docx</w:t>
      </w:r>
      <w:r>
        <w:rPr/>
        <w:t xml:space="preserve">, </w:t>
      </w:r>
      <w:r>
        <w:rPr>
          <w:rFonts w:ascii="Consolas" w:hAnsi="Consolas"/>
        </w:rPr>
        <w:t>UML_UseCase_Diagram.pdf</w:t>
      </w:r>
      <w:r>
        <w:rPr/>
        <w:t>. No source code exists in the repository.</w:t>
      </w:r>
    </w:p>
    <w:p>
      <w:pPr>
        <w:pStyle w:val="Heading2"/>
      </w:pPr>
      <w:r>
        <w:rPr/>
        <w:t>1. EXISTING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FR-001…FR-005 and NFR-001, NFR-002 with type, priority, acceptance criteria, rationale (Lab 1 mandated exactly these 5 + 2).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Use case flow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UC-03 Reserve Equipment Slot: preconditions, postconditions, 8-step main flow, alternate flows A1 (calibration) and A2 (slot conflict).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UML use-case diagram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Actors Student, Lab Technician, Notification System; 12 use cases; 3 «include» from Reserve Equipment Slot, 1 «extend» (Apply Late-Return Penalty → Return Equipment).</w:t>
            </w:r>
          </w:p>
        </w:tc>
      </w:tr>
    </w:tbl>
    <w:p/>
    <w:p>
      <w:pPr>
        <w:pStyle w:val="Heading2"/>
      </w:pPr>
      <w:r>
        <w:rPr/>
        <w:t>2. MISSING (required by the Part-1 assignment)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Assignment 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Status before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IEEE-style SRS with introduction, FR, NFR, interfaces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missing → </w:t>
            </w:r>
            <w:r>
              <w:rPr>
                <w:rFonts w:ascii="Consolas" w:hAnsi="Consolas"/>
                <w:sz w:val="17"/>
              </w:rPr>
              <w:t>SRS.md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Security objectives (≥ 2) and requirements (≥ 2)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SRS §4 (4 objectives, 6 requirements)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IEEE-style Test Plan, sections 3, 4, 5, §5.1 Security Validation, traceability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missing → </w:t>
            </w:r>
            <w:r>
              <w:rPr>
                <w:rFonts w:ascii="Consolas" w:hAnsi="Consolas"/>
                <w:sz w:val="17"/>
              </w:rPr>
              <w:t>Test_Plan.md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≥ 7–10 test cases covering FR and NFR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23 test cases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Architecture: component diagram + description, pattern, traceability, security architecture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Architecture §2–§7, Figure 2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Design: ≥ 2 sequence diagrams, API design, error handling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Design §8–§11, Figures 3–4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IDs for use cases other than UC-03; use-case descriptions for the rest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missing → UC-01…UC-12 assigned and described</w:t>
            </w:r>
          </w:p>
        </w:tc>
      </w:tr>
    </w:tbl>
    <w:p/>
    <w:p>
      <w:pPr>
        <w:pStyle w:val="Heading2"/>
      </w:pPr>
      <w:r>
        <w:rPr/>
        <w:t>3. NEEDS REVISION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Existing material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Problem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Resolution (intent preserved)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Diagram vs. FR-004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Diagram links </w:t>
            </w:r>
            <w:r>
              <w:rPr>
                <w:b/>
                <w:sz w:val="17"/>
              </w:rPr>
              <w:t>Student</w:t>
            </w:r>
            <w:r>
              <w:rPr>
                <w:sz w:val="17"/>
              </w:rPr>
              <w:t xml:space="preserve"> to </w:t>
            </w:r>
            <w:r>
              <w:rPr>
                <w:i/>
                <w:sz w:val="17"/>
              </w:rPr>
              <w:t>Return Equipment</w:t>
            </w:r>
            <w:r>
              <w:rPr>
                <w:sz w:val="17"/>
              </w:rPr>
              <w:t>, but FR-004 says a Lab Technician marks the return.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Association removed in the redrawn diagram; documented in SRS §5.1.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Diagram vs. requirements</w:t>
            </w:r>
          </w:p>
        </w:tc>
        <w:tc>
          <w:tcPr>
            <w:tcW w:type="dxa" w:w="2484"/>
          </w:tcPr>
          <w:p>
            <w:r/>
            <w:r>
              <w:rPr>
                <w:i/>
                <w:sz w:val="17"/>
              </w:rPr>
              <w:t>Login</w:t>
            </w:r>
            <w:r>
              <w:rPr>
                <w:sz w:val="17"/>
              </w:rPr>
              <w:t xml:space="preserve">, </w:t>
            </w:r>
            <w:r>
              <w:rPr>
                <w:i/>
                <w:sz w:val="17"/>
              </w:rPr>
              <w:t>View Reservation History</w:t>
            </w:r>
            <w:r>
              <w:rPr>
                <w:sz w:val="17"/>
              </w:rPr>
              <w:t xml:space="preserve">, </w:t>
            </w:r>
            <w:r>
              <w:rPr>
                <w:i/>
                <w:sz w:val="17"/>
              </w:rPr>
              <w:t>Update Calibration Status</w:t>
            </w:r>
            <w:r>
              <w:rPr>
                <w:sz w:val="17"/>
              </w:rPr>
              <w:t xml:space="preserve"> and </w:t>
            </w:r>
            <w:r>
              <w:rPr>
                <w:i/>
                <w:sz w:val="17"/>
              </w:rPr>
              <w:t>Send Confirmation Notification</w:t>
            </w:r>
            <w:r>
              <w:rPr>
                <w:sz w:val="17"/>
              </w:rPr>
              <w:t xml:space="preserve"> have no requirement (NFR-002 mentions calibration update only as a restriction).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Added FR-006, FR-007, FR-008, FR-009 (marked [NEW]).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 precondition "no conflicting reservation for the same time slot"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Not backed by a requirement.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Added FR-010.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"real-time availability" is not measurable; one sentence bundles viewing, reserving, limits, token.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Kept ID and intent; reworded: availability reflects all Confirmed reservations; limits stated as 120 min / 7 days / overlap; marked [REFINED].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Bundles latency and lock isolation; "peak load" and "security standards" undefined → untestable as written.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Latency kept as NFR-001 (≤ 200 ms, load = test parameter A-03); isolation outcome split into NFR-003; "security standards" dropped (covered by SEC-REQs).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Fine as a requirement but combines RBAC and session expiry.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Kept unchanged; derived SEC-REQ-01 and SEC-REQ-02 so each half has its own test.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"up to 1 hour before" ambiguous at exactly 60 min.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Assumption A-04 (inclusive), boundary test TC-07.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Which reservation states can be returned is unstated.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Only Confirmed (Design §9, 409 </w:t>
            </w:r>
            <w:r>
              <w:rPr>
                <w:rFonts w:ascii="Consolas" w:hAnsi="Consolas"/>
                <w:sz w:val="17"/>
              </w:rPr>
              <w:t>INVALID_RESERVATION_STATE</w:t>
            </w:r>
            <w:r>
              <w:rPr>
                <w:sz w:val="17"/>
              </w:rPr>
              <w:t>).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Secondary actor "Lab Technician" has no step in the main flow; flow ends at A2 with no invalid-session/input, student-overlap or notification-failure paths.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Technician listing kept (fidelity) and footnoted; A3, A4 and E1 added and marked as Part-1 additions.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 step 5/7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The overlap check and the lock are separate steps.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Design performs them atomically in one transaction (DD-02) – same observable behaviour, needed for NFR-003.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Diagram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 use-case IDs.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UC-01…UC-12 assigned (UC-03 retained from the Lab 1 specification).</w:t>
            </w:r>
          </w:p>
        </w:tc>
      </w:tr>
    </w:tbl>
    <w:p/>
    <w:p>
      <w:pPr>
        <w:pStyle w:val="Heading2"/>
      </w:pPr>
      <w:r>
        <w:rPr/>
        <w:t>4. Information that Lab 1 does not provide (assumptions A-01…A-12 in SRS §2.6)</w:t>
      </w:r>
    </w:p>
    <w:p>
      <w:r>
        <w:rPr/>
        <w:t>Technology stack; definition of "peak load"; slot granularity / minimum duration; behaviour on notification failure; deletion of equipment with future reservations; whether the due date changes status automatically; deployment security (HTTPS). Each was resolved with a labelled assumption – none is stated as fact – and should be confirmed with the instructor.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