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AFCD" w14:textId="5EB73CC4" w:rsidR="00522095" w:rsidRDefault="00522095" w:rsidP="00FA1366">
      <w:pPr>
        <w:jc w:val="both"/>
        <w:rPr>
          <w:rFonts w:ascii="Arial" w:hAnsi="Arial" w:cs="Arial"/>
          <w:sz w:val="24"/>
          <w:szCs w:val="24"/>
        </w:rPr>
      </w:pPr>
    </w:p>
    <w:p w14:paraId="5052F7F9" w14:textId="77777777" w:rsidR="002E48E6" w:rsidRDefault="002E48E6" w:rsidP="00FA1366">
      <w:pPr>
        <w:jc w:val="both"/>
        <w:rPr>
          <w:rFonts w:ascii="Arial" w:hAnsi="Arial" w:cs="Arial"/>
          <w:sz w:val="24"/>
          <w:szCs w:val="24"/>
        </w:rPr>
      </w:pPr>
    </w:p>
    <w:p w14:paraId="6C50C485" w14:textId="77777777" w:rsidR="00576FEC" w:rsidRPr="00FA1366" w:rsidRDefault="00576FEC" w:rsidP="00FA1366">
      <w:pPr>
        <w:jc w:val="both"/>
        <w:rPr>
          <w:rFonts w:ascii="Arial" w:hAnsi="Arial" w:cs="Arial"/>
          <w:sz w:val="24"/>
          <w:szCs w:val="24"/>
        </w:rPr>
      </w:pPr>
    </w:p>
    <w:p w14:paraId="36A30E42" w14:textId="2866D8C3" w:rsidR="00522095" w:rsidRPr="00FA1366" w:rsidRDefault="00522095" w:rsidP="00FA1366">
      <w:pPr>
        <w:jc w:val="both"/>
        <w:rPr>
          <w:rFonts w:ascii="Arial" w:hAnsi="Arial" w:cs="Arial"/>
          <w:sz w:val="24"/>
          <w:szCs w:val="24"/>
        </w:rPr>
      </w:pPr>
    </w:p>
    <w:p w14:paraId="1D9A4939"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TALLER</w:t>
      </w:r>
    </w:p>
    <w:p w14:paraId="42F7DA30" w14:textId="053BF15C"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ECONOMIA DE LO PUBLICO 2</w:t>
      </w:r>
    </w:p>
    <w:p w14:paraId="397A2C0B" w14:textId="77777777" w:rsidR="00522095" w:rsidRPr="00FA1366" w:rsidRDefault="00522095" w:rsidP="00FA1366">
      <w:pPr>
        <w:jc w:val="both"/>
        <w:rPr>
          <w:rFonts w:ascii="Arial" w:hAnsi="Arial" w:cs="Arial"/>
          <w:b/>
          <w:bCs/>
          <w:sz w:val="24"/>
          <w:szCs w:val="24"/>
        </w:rPr>
      </w:pPr>
    </w:p>
    <w:p w14:paraId="1EF87C36" w14:textId="77777777" w:rsidR="00522095" w:rsidRPr="00FA1366" w:rsidRDefault="00522095" w:rsidP="00FA1366">
      <w:pPr>
        <w:jc w:val="both"/>
        <w:rPr>
          <w:rFonts w:ascii="Arial" w:hAnsi="Arial" w:cs="Arial"/>
          <w:b/>
          <w:bCs/>
          <w:sz w:val="24"/>
          <w:szCs w:val="24"/>
        </w:rPr>
      </w:pPr>
    </w:p>
    <w:p w14:paraId="3DC1F1C5" w14:textId="77777777" w:rsidR="00522095" w:rsidRPr="00FA1366" w:rsidRDefault="00522095" w:rsidP="00FA1366">
      <w:pPr>
        <w:jc w:val="both"/>
        <w:rPr>
          <w:rFonts w:ascii="Arial" w:hAnsi="Arial" w:cs="Arial"/>
          <w:b/>
          <w:bCs/>
          <w:sz w:val="24"/>
          <w:szCs w:val="24"/>
        </w:rPr>
      </w:pPr>
    </w:p>
    <w:p w14:paraId="5464D75A"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POR:</w:t>
      </w:r>
    </w:p>
    <w:p w14:paraId="3BA667CB"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CRISTINA ANDREA ORTEGA FRANCO</w:t>
      </w:r>
    </w:p>
    <w:p w14:paraId="79E8B740"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39.388.257</w:t>
      </w:r>
    </w:p>
    <w:p w14:paraId="6FCB10A7" w14:textId="77777777" w:rsidR="00522095" w:rsidRPr="00FA1366" w:rsidRDefault="00522095" w:rsidP="00FA1366">
      <w:pPr>
        <w:jc w:val="both"/>
        <w:rPr>
          <w:rFonts w:ascii="Arial" w:hAnsi="Arial" w:cs="Arial"/>
          <w:b/>
          <w:bCs/>
          <w:sz w:val="24"/>
          <w:szCs w:val="24"/>
        </w:rPr>
      </w:pPr>
    </w:p>
    <w:p w14:paraId="5C4AC0FD" w14:textId="77777777" w:rsidR="00522095" w:rsidRPr="00FA1366" w:rsidRDefault="00522095" w:rsidP="00FA1366">
      <w:pPr>
        <w:jc w:val="both"/>
        <w:rPr>
          <w:rFonts w:ascii="Arial" w:hAnsi="Arial" w:cs="Arial"/>
          <w:b/>
          <w:bCs/>
          <w:sz w:val="24"/>
          <w:szCs w:val="24"/>
        </w:rPr>
      </w:pPr>
    </w:p>
    <w:p w14:paraId="3ADAA086" w14:textId="77777777" w:rsidR="00522095" w:rsidRPr="00FA1366" w:rsidRDefault="00522095" w:rsidP="00FA1366">
      <w:pPr>
        <w:jc w:val="both"/>
        <w:rPr>
          <w:rFonts w:ascii="Arial" w:hAnsi="Arial" w:cs="Arial"/>
          <w:b/>
          <w:bCs/>
          <w:sz w:val="24"/>
          <w:szCs w:val="24"/>
        </w:rPr>
      </w:pPr>
    </w:p>
    <w:p w14:paraId="704CFCC2" w14:textId="77777777" w:rsidR="00522095" w:rsidRPr="00FA1366" w:rsidRDefault="00522095" w:rsidP="00FA1366">
      <w:pPr>
        <w:jc w:val="both"/>
        <w:rPr>
          <w:rFonts w:ascii="Arial" w:hAnsi="Arial" w:cs="Arial"/>
          <w:b/>
          <w:bCs/>
          <w:sz w:val="24"/>
          <w:szCs w:val="24"/>
        </w:rPr>
      </w:pPr>
    </w:p>
    <w:p w14:paraId="548994A3" w14:textId="77777777" w:rsidR="00522095" w:rsidRPr="00FA1366" w:rsidRDefault="00522095" w:rsidP="00FA1366">
      <w:pPr>
        <w:jc w:val="both"/>
        <w:rPr>
          <w:rFonts w:ascii="Arial" w:hAnsi="Arial" w:cs="Arial"/>
          <w:b/>
          <w:bCs/>
          <w:sz w:val="24"/>
          <w:szCs w:val="24"/>
        </w:rPr>
      </w:pPr>
    </w:p>
    <w:p w14:paraId="3D181C4A" w14:textId="77777777"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ESCUELA SUPERIOR DE ADMINISTSRACIÓN PÚBLICA</w:t>
      </w:r>
    </w:p>
    <w:p w14:paraId="61020C03" w14:textId="19F6E0C6" w:rsidR="00522095" w:rsidRPr="00FA1366" w:rsidRDefault="00522095" w:rsidP="00FA1366">
      <w:pPr>
        <w:jc w:val="both"/>
        <w:rPr>
          <w:rFonts w:ascii="Arial" w:hAnsi="Arial" w:cs="Arial"/>
          <w:b/>
          <w:bCs/>
          <w:sz w:val="24"/>
          <w:szCs w:val="24"/>
        </w:rPr>
      </w:pPr>
      <w:r w:rsidRPr="00FA1366">
        <w:rPr>
          <w:rFonts w:ascii="Arial" w:hAnsi="Arial" w:cs="Arial"/>
          <w:b/>
          <w:bCs/>
          <w:sz w:val="24"/>
          <w:szCs w:val="24"/>
        </w:rPr>
        <w:t>202</w:t>
      </w:r>
      <w:r w:rsidR="0098622A">
        <w:rPr>
          <w:rFonts w:ascii="Arial" w:hAnsi="Arial" w:cs="Arial"/>
          <w:b/>
          <w:bCs/>
          <w:sz w:val="24"/>
          <w:szCs w:val="24"/>
        </w:rPr>
        <w:t>3</w:t>
      </w:r>
    </w:p>
    <w:p w14:paraId="0C968211" w14:textId="050875C2" w:rsidR="00522095" w:rsidRPr="00FA1366" w:rsidRDefault="00522095" w:rsidP="00FA1366">
      <w:pPr>
        <w:jc w:val="both"/>
        <w:rPr>
          <w:rFonts w:ascii="Arial" w:hAnsi="Arial" w:cs="Arial"/>
          <w:sz w:val="24"/>
          <w:szCs w:val="24"/>
        </w:rPr>
      </w:pPr>
    </w:p>
    <w:p w14:paraId="309A5411" w14:textId="2B97D9AF" w:rsidR="00522095" w:rsidRPr="00FA1366" w:rsidRDefault="00522095" w:rsidP="00FA1366">
      <w:pPr>
        <w:jc w:val="both"/>
        <w:rPr>
          <w:rFonts w:ascii="Arial" w:hAnsi="Arial" w:cs="Arial"/>
          <w:sz w:val="24"/>
          <w:szCs w:val="24"/>
        </w:rPr>
      </w:pPr>
    </w:p>
    <w:p w14:paraId="7B86C951" w14:textId="7CE611D9" w:rsidR="00522095" w:rsidRPr="00FA1366" w:rsidRDefault="00522095" w:rsidP="00FA1366">
      <w:pPr>
        <w:jc w:val="both"/>
        <w:rPr>
          <w:rFonts w:ascii="Arial" w:hAnsi="Arial" w:cs="Arial"/>
          <w:sz w:val="24"/>
          <w:szCs w:val="24"/>
        </w:rPr>
      </w:pPr>
    </w:p>
    <w:p w14:paraId="2147A18D" w14:textId="540D7178" w:rsidR="00522095" w:rsidRPr="00FA1366" w:rsidRDefault="00522095" w:rsidP="00FA1366">
      <w:pPr>
        <w:jc w:val="both"/>
        <w:rPr>
          <w:rFonts w:ascii="Arial" w:hAnsi="Arial" w:cs="Arial"/>
          <w:sz w:val="24"/>
          <w:szCs w:val="24"/>
        </w:rPr>
      </w:pPr>
    </w:p>
    <w:p w14:paraId="22C6DADE" w14:textId="41C73B0F" w:rsidR="00522095" w:rsidRPr="00FA1366" w:rsidRDefault="00522095" w:rsidP="00FA1366">
      <w:pPr>
        <w:jc w:val="both"/>
        <w:rPr>
          <w:rFonts w:ascii="Arial" w:hAnsi="Arial" w:cs="Arial"/>
          <w:sz w:val="24"/>
          <w:szCs w:val="24"/>
        </w:rPr>
      </w:pPr>
    </w:p>
    <w:p w14:paraId="13318212" w14:textId="6D57BB49" w:rsidR="00522095" w:rsidRPr="00FA1366" w:rsidRDefault="00522095" w:rsidP="00FA1366">
      <w:pPr>
        <w:jc w:val="both"/>
        <w:rPr>
          <w:rFonts w:ascii="Arial" w:hAnsi="Arial" w:cs="Arial"/>
          <w:sz w:val="24"/>
          <w:szCs w:val="24"/>
        </w:rPr>
      </w:pPr>
    </w:p>
    <w:p w14:paraId="59B8DC0D" w14:textId="23DEB45E" w:rsidR="00522095" w:rsidRPr="00FA1366" w:rsidRDefault="00522095" w:rsidP="00FA1366">
      <w:pPr>
        <w:jc w:val="both"/>
        <w:rPr>
          <w:rFonts w:ascii="Arial" w:hAnsi="Arial" w:cs="Arial"/>
          <w:sz w:val="24"/>
          <w:szCs w:val="24"/>
        </w:rPr>
      </w:pPr>
    </w:p>
    <w:p w14:paraId="31BA453A" w14:textId="51FE9C0F" w:rsidR="00522095" w:rsidRPr="00FA1366" w:rsidRDefault="00522095" w:rsidP="00FA1366">
      <w:pPr>
        <w:jc w:val="both"/>
        <w:rPr>
          <w:rFonts w:ascii="Arial" w:hAnsi="Arial" w:cs="Arial"/>
          <w:sz w:val="24"/>
          <w:szCs w:val="24"/>
        </w:rPr>
      </w:pPr>
    </w:p>
    <w:p w14:paraId="2FB5CB0F" w14:textId="6C3BCF98" w:rsidR="00522095" w:rsidRPr="00FA1366" w:rsidRDefault="00522095" w:rsidP="00FA1366">
      <w:pPr>
        <w:jc w:val="both"/>
        <w:rPr>
          <w:rFonts w:ascii="Arial" w:hAnsi="Arial" w:cs="Arial"/>
          <w:sz w:val="24"/>
          <w:szCs w:val="24"/>
        </w:rPr>
      </w:pPr>
    </w:p>
    <w:p w14:paraId="4D97EF8E" w14:textId="58CE05CF" w:rsidR="00522095" w:rsidRPr="00FA1366" w:rsidRDefault="00522095" w:rsidP="00FA1366">
      <w:pPr>
        <w:jc w:val="both"/>
        <w:rPr>
          <w:rFonts w:ascii="Arial" w:hAnsi="Arial" w:cs="Arial"/>
          <w:sz w:val="24"/>
          <w:szCs w:val="24"/>
        </w:rPr>
      </w:pPr>
    </w:p>
    <w:p w14:paraId="72C1AD43" w14:textId="0B20E618" w:rsidR="00522095" w:rsidRPr="00FA1366" w:rsidRDefault="00522095" w:rsidP="00FA1366">
      <w:pPr>
        <w:jc w:val="both"/>
        <w:rPr>
          <w:rFonts w:ascii="Arial" w:hAnsi="Arial" w:cs="Arial"/>
          <w:sz w:val="24"/>
          <w:szCs w:val="24"/>
        </w:rPr>
      </w:pPr>
    </w:p>
    <w:p w14:paraId="0827D8D9" w14:textId="7BB6C429" w:rsidR="00522095" w:rsidRPr="00FA1366" w:rsidRDefault="00522095" w:rsidP="00FA1366">
      <w:pPr>
        <w:jc w:val="both"/>
        <w:rPr>
          <w:rFonts w:ascii="Arial" w:hAnsi="Arial" w:cs="Arial"/>
          <w:sz w:val="24"/>
          <w:szCs w:val="24"/>
        </w:rPr>
      </w:pPr>
    </w:p>
    <w:p w14:paraId="1A7AA444" w14:textId="50D73A8E" w:rsidR="00D77D5B" w:rsidRPr="00FA1366" w:rsidRDefault="00587FCA" w:rsidP="00FA1366">
      <w:pPr>
        <w:jc w:val="both"/>
        <w:rPr>
          <w:rFonts w:ascii="Arial" w:hAnsi="Arial" w:cs="Arial"/>
          <w:sz w:val="24"/>
          <w:szCs w:val="24"/>
        </w:rPr>
      </w:pPr>
      <w:r w:rsidRPr="00FA1366">
        <w:rPr>
          <w:rFonts w:ascii="Arial" w:hAnsi="Arial" w:cs="Arial"/>
          <w:sz w:val="24"/>
          <w:szCs w:val="24"/>
        </w:rPr>
        <w:t xml:space="preserve">Economía de lo público </w:t>
      </w:r>
      <w:r w:rsidR="0098622A">
        <w:rPr>
          <w:rFonts w:ascii="Arial" w:hAnsi="Arial" w:cs="Arial"/>
          <w:sz w:val="24"/>
          <w:szCs w:val="24"/>
        </w:rPr>
        <w:t>II</w:t>
      </w:r>
    </w:p>
    <w:p w14:paraId="6FA1CFD9" w14:textId="2DAFAA53" w:rsidR="00587FCA" w:rsidRPr="00FA1366" w:rsidRDefault="00587FCA" w:rsidP="00FA1366">
      <w:pPr>
        <w:jc w:val="both"/>
        <w:rPr>
          <w:rFonts w:ascii="Arial" w:hAnsi="Arial" w:cs="Arial"/>
          <w:sz w:val="24"/>
          <w:szCs w:val="24"/>
        </w:rPr>
      </w:pPr>
    </w:p>
    <w:p w14:paraId="4725FA9C" w14:textId="7F31CB4F" w:rsidR="00587FCA" w:rsidRDefault="00587FCA" w:rsidP="00FA1366">
      <w:pPr>
        <w:jc w:val="both"/>
        <w:rPr>
          <w:rFonts w:ascii="Arial" w:hAnsi="Arial" w:cs="Arial"/>
          <w:sz w:val="24"/>
          <w:szCs w:val="24"/>
        </w:rPr>
      </w:pPr>
      <w:r w:rsidRPr="00FA1366">
        <w:rPr>
          <w:rFonts w:ascii="Arial" w:hAnsi="Arial" w:cs="Arial"/>
          <w:sz w:val="24"/>
          <w:szCs w:val="24"/>
        </w:rPr>
        <w:t xml:space="preserve">Actividad # 1 </w:t>
      </w:r>
    </w:p>
    <w:p w14:paraId="1793F5F3" w14:textId="781629C3" w:rsidR="0098622A" w:rsidRPr="0098622A" w:rsidRDefault="0098622A" w:rsidP="0098622A">
      <w:pPr>
        <w:jc w:val="both"/>
        <w:rPr>
          <w:rFonts w:ascii="Arial" w:hAnsi="Arial" w:cs="Arial"/>
          <w:b/>
          <w:bCs/>
          <w:sz w:val="24"/>
          <w:szCs w:val="24"/>
        </w:rPr>
      </w:pPr>
      <w:r w:rsidRPr="0098622A">
        <w:rPr>
          <w:rFonts w:ascii="Arial" w:hAnsi="Arial" w:cs="Arial"/>
          <w:b/>
          <w:bCs/>
          <w:sz w:val="24"/>
          <w:szCs w:val="24"/>
        </w:rPr>
        <w:t xml:space="preserve">agregados macroeconómicos Medellín </w:t>
      </w:r>
    </w:p>
    <w:p w14:paraId="24BE8EC0" w14:textId="3BB06335" w:rsidR="0098622A" w:rsidRPr="0098622A" w:rsidRDefault="0098622A" w:rsidP="0098622A">
      <w:pPr>
        <w:jc w:val="both"/>
        <w:rPr>
          <w:rFonts w:ascii="Arial" w:hAnsi="Arial" w:cs="Arial"/>
          <w:sz w:val="24"/>
          <w:szCs w:val="24"/>
        </w:rPr>
      </w:pPr>
      <w:r>
        <w:rPr>
          <w:rFonts w:ascii="Arial" w:hAnsi="Arial" w:cs="Arial"/>
          <w:sz w:val="24"/>
          <w:szCs w:val="24"/>
        </w:rPr>
        <w:t>1.</w:t>
      </w:r>
      <w:r w:rsidRPr="0098622A">
        <w:rPr>
          <w:rFonts w:ascii="Arial" w:hAnsi="Arial" w:cs="Arial"/>
          <w:sz w:val="24"/>
          <w:szCs w:val="24"/>
        </w:rPr>
        <w:t>PIB</w:t>
      </w:r>
    </w:p>
    <w:p w14:paraId="3163E955" w14:textId="44DBB786" w:rsidR="0098622A" w:rsidRPr="0098622A" w:rsidRDefault="0098622A" w:rsidP="0098622A">
      <w:pPr>
        <w:rPr>
          <w:rFonts w:ascii="Arial" w:hAnsi="Arial" w:cs="Arial"/>
          <w:sz w:val="24"/>
          <w:szCs w:val="24"/>
        </w:rPr>
      </w:pPr>
      <w:r w:rsidRPr="0098622A">
        <w:rPr>
          <w:rFonts w:ascii="Arial" w:hAnsi="Arial" w:cs="Arial"/>
          <w:sz w:val="24"/>
          <w:szCs w:val="24"/>
        </w:rPr>
        <w:t>Según la Cámara de Comercio de Medellín, la economía del departamento creció 7% en 2022, mientras que este año se expandiría 2%, La Cámara de Comercio de Medellín para Antioquia (CCMA) divulgó los resultados de los principales indicadores macroeconómicos del departamento durante el 2022, así como sus proyecciones para este año.</w:t>
      </w:r>
    </w:p>
    <w:p w14:paraId="60FB4036" w14:textId="2856AD02" w:rsidR="0098622A" w:rsidRPr="0098622A" w:rsidRDefault="0098622A" w:rsidP="0098622A">
      <w:pPr>
        <w:rPr>
          <w:rFonts w:ascii="Arial" w:hAnsi="Arial" w:cs="Arial"/>
          <w:sz w:val="24"/>
          <w:szCs w:val="24"/>
        </w:rPr>
      </w:pPr>
      <w:r w:rsidRPr="0098622A">
        <w:rPr>
          <w:rFonts w:ascii="Arial" w:hAnsi="Arial" w:cs="Arial"/>
          <w:sz w:val="24"/>
          <w:szCs w:val="24"/>
        </w:rPr>
        <w:t>Según sus cuentas, el Producto Interno Bruto (PIB) del departamento habría crecido un 7% el año pasado impulsado por el sólido crecimiento de la demanda interna, el cual se reflejó en el buen comportamiento de la producción de la industria, las ventas del comercio o el aumento del área licenciada para la construcción.</w:t>
      </w:r>
    </w:p>
    <w:p w14:paraId="65EA8BE2" w14:textId="2037F215" w:rsidR="0098622A" w:rsidRDefault="0098622A" w:rsidP="0098622A">
      <w:pPr>
        <w:rPr>
          <w:rFonts w:ascii="Arial" w:hAnsi="Arial" w:cs="Arial"/>
          <w:sz w:val="24"/>
          <w:szCs w:val="24"/>
        </w:rPr>
      </w:pPr>
      <w:r w:rsidRPr="0098622A">
        <w:rPr>
          <w:rFonts w:ascii="Arial" w:hAnsi="Arial" w:cs="Arial"/>
          <w:sz w:val="24"/>
          <w:szCs w:val="24"/>
        </w:rPr>
        <w:t>Entre tanto, para este año, y pese a que las proyecciones hablan de un fuerte retroceso debido a los aires de recesión entre las principales economías del mundo, Antioquia mantendría cierta resiliencia y en ese sentido la CCMA cree que el crecimiento se ubicaría en el 2%.</w:t>
      </w:r>
    </w:p>
    <w:p w14:paraId="137B86E0" w14:textId="77777777" w:rsidR="0098622A" w:rsidRPr="0098622A" w:rsidRDefault="0098622A" w:rsidP="0098622A">
      <w:pPr>
        <w:rPr>
          <w:rFonts w:ascii="Arial" w:hAnsi="Arial" w:cs="Arial"/>
          <w:b/>
          <w:bCs/>
          <w:sz w:val="24"/>
          <w:szCs w:val="24"/>
        </w:rPr>
      </w:pPr>
      <w:r w:rsidRPr="0098622A">
        <w:rPr>
          <w:rFonts w:ascii="Arial" w:hAnsi="Arial" w:cs="Arial"/>
          <w:b/>
          <w:bCs/>
          <w:sz w:val="24"/>
          <w:szCs w:val="24"/>
        </w:rPr>
        <w:t>Los resultados del 2022</w:t>
      </w:r>
    </w:p>
    <w:p w14:paraId="04F1ECC9" w14:textId="77777777" w:rsidR="0098622A" w:rsidRPr="0098622A" w:rsidRDefault="0098622A" w:rsidP="0098622A">
      <w:pPr>
        <w:rPr>
          <w:rFonts w:ascii="Arial" w:hAnsi="Arial" w:cs="Arial"/>
          <w:sz w:val="24"/>
          <w:szCs w:val="24"/>
        </w:rPr>
      </w:pPr>
      <w:r w:rsidRPr="0098622A">
        <w:rPr>
          <w:rFonts w:ascii="Arial" w:hAnsi="Arial" w:cs="Arial"/>
          <w:sz w:val="24"/>
          <w:szCs w:val="24"/>
        </w:rPr>
        <w:t>Sobre lo observado en 2022, la CCMA describió que la industria paisa incrementó su producción un 10,8% en comparación con el 2021, mientras que los comerciantes vendieron un 8% más.</w:t>
      </w:r>
    </w:p>
    <w:p w14:paraId="50159158" w14:textId="77777777" w:rsidR="0098622A" w:rsidRDefault="0098622A" w:rsidP="0098622A">
      <w:pPr>
        <w:rPr>
          <w:rFonts w:ascii="Arial" w:hAnsi="Arial" w:cs="Arial"/>
          <w:sz w:val="24"/>
          <w:szCs w:val="24"/>
        </w:rPr>
      </w:pPr>
      <w:r w:rsidRPr="0098622A">
        <w:rPr>
          <w:rFonts w:ascii="Arial" w:hAnsi="Arial" w:cs="Arial"/>
          <w:sz w:val="24"/>
          <w:szCs w:val="24"/>
        </w:rPr>
        <w:t>Entre tanto, el área licenciada en la construcción cerró con un incremento del 23,8%; mientras que el sector turismo observó cómo se elevó un 138% la llegada de visitantes extranjeros, lo cual lo impulsó a crear un 26,1% más de empleos.</w:t>
      </w:r>
    </w:p>
    <w:p w14:paraId="31B16B99" w14:textId="08D189A1" w:rsidR="00C76975" w:rsidRPr="00C76975" w:rsidRDefault="00C76975" w:rsidP="00C76975">
      <w:pPr>
        <w:rPr>
          <w:rFonts w:ascii="Arial" w:hAnsi="Arial" w:cs="Arial"/>
          <w:sz w:val="24"/>
          <w:szCs w:val="24"/>
        </w:rPr>
      </w:pPr>
      <w:r w:rsidRPr="00C76975">
        <w:rPr>
          <w:rFonts w:ascii="Arial" w:hAnsi="Arial" w:cs="Arial"/>
          <w:sz w:val="24"/>
          <w:szCs w:val="24"/>
        </w:rPr>
        <w:t>La tasa de desempleo de Medellín y el Valle de Aburrá fue de 9 % en el cuarto trimestre de 2022. Los empleados por el sector privado registraron un incremento de 178 mil personas, Por el lado de exportaciones hubo un crecimiento de 12% hasta los US$7.647 millones, lo cual fue explicado por el buen comportamiento de las ventas de combustibles y productos minerales, vehículos y manufacturas de alimentos.</w:t>
      </w:r>
    </w:p>
    <w:p w14:paraId="7E79AA2A" w14:textId="77777777" w:rsidR="00C76975" w:rsidRPr="00C76975" w:rsidRDefault="00C76975" w:rsidP="00C76975">
      <w:pPr>
        <w:rPr>
          <w:rFonts w:ascii="Arial" w:hAnsi="Arial" w:cs="Arial"/>
          <w:sz w:val="24"/>
          <w:szCs w:val="24"/>
        </w:rPr>
      </w:pPr>
      <w:r w:rsidRPr="00C76975">
        <w:rPr>
          <w:rFonts w:ascii="Arial" w:hAnsi="Arial" w:cs="Arial"/>
          <w:sz w:val="24"/>
          <w:szCs w:val="24"/>
        </w:rPr>
        <w:lastRenderedPageBreak/>
        <w:t>Estados Unidos, Italia, India y Ecuador fueron los principales clientes de las empresas paisas; entre tanto, China, Estados Unidos y Francia se mostraron como los territorios desde donde más se importó.</w:t>
      </w:r>
    </w:p>
    <w:p w14:paraId="07145C71" w14:textId="1C820871" w:rsidR="00C76975" w:rsidRPr="00C76975" w:rsidRDefault="00C76975" w:rsidP="00C76975">
      <w:pPr>
        <w:rPr>
          <w:rFonts w:ascii="Arial" w:hAnsi="Arial" w:cs="Arial"/>
          <w:sz w:val="24"/>
          <w:szCs w:val="24"/>
        </w:rPr>
      </w:pPr>
    </w:p>
    <w:p w14:paraId="7226CE66" w14:textId="77777777" w:rsidR="0098622A" w:rsidRPr="0098622A" w:rsidRDefault="0098622A" w:rsidP="0098622A">
      <w:pPr>
        <w:rPr>
          <w:rFonts w:ascii="Arial" w:hAnsi="Arial" w:cs="Arial"/>
          <w:sz w:val="24"/>
          <w:szCs w:val="24"/>
        </w:rPr>
      </w:pPr>
    </w:p>
    <w:p w14:paraId="421F1BA8" w14:textId="77777777" w:rsidR="0098622A" w:rsidRDefault="0098622A" w:rsidP="0098622A">
      <w:pPr>
        <w:pStyle w:val="Prrafodelista"/>
        <w:jc w:val="both"/>
        <w:rPr>
          <w:rFonts w:ascii="Arial" w:hAnsi="Arial" w:cs="Arial"/>
          <w:sz w:val="24"/>
          <w:szCs w:val="24"/>
        </w:rPr>
      </w:pPr>
    </w:p>
    <w:p w14:paraId="35ECF6B6" w14:textId="3B8F6638" w:rsidR="0098622A" w:rsidRDefault="00C76975" w:rsidP="00C76975">
      <w:pPr>
        <w:ind w:left="360"/>
        <w:jc w:val="both"/>
        <w:rPr>
          <w:rFonts w:ascii="Arial" w:hAnsi="Arial" w:cs="Arial"/>
          <w:sz w:val="24"/>
          <w:szCs w:val="24"/>
        </w:rPr>
      </w:pPr>
      <w:r>
        <w:rPr>
          <w:rFonts w:ascii="Arial" w:hAnsi="Arial" w:cs="Arial"/>
          <w:sz w:val="24"/>
          <w:szCs w:val="24"/>
        </w:rPr>
        <w:t xml:space="preserve">2. </w:t>
      </w:r>
      <w:r w:rsidR="0098622A" w:rsidRPr="00C76975">
        <w:rPr>
          <w:rFonts w:ascii="Arial" w:hAnsi="Arial" w:cs="Arial"/>
          <w:sz w:val="24"/>
          <w:szCs w:val="24"/>
        </w:rPr>
        <w:t>Tasa de desempleo</w:t>
      </w:r>
    </w:p>
    <w:p w14:paraId="2CCE6F37" w14:textId="7903BB45" w:rsidR="00C76975" w:rsidRPr="00C76975" w:rsidRDefault="00C76975" w:rsidP="00C76975">
      <w:pPr>
        <w:rPr>
          <w:rFonts w:ascii="Arial" w:hAnsi="Arial" w:cs="Arial"/>
          <w:sz w:val="24"/>
          <w:szCs w:val="24"/>
        </w:rPr>
      </w:pPr>
      <w:r w:rsidRPr="00C76975">
        <w:rPr>
          <w:rFonts w:ascii="Arial" w:hAnsi="Arial" w:cs="Arial"/>
          <w:sz w:val="24"/>
          <w:szCs w:val="24"/>
        </w:rPr>
        <w:t>Al entregar el informe mensual de las cinco principales ciudades del país se encuentra que la tasa de desempleo de Medellín y Valle de Aburrá, en diciembre de 2021 fue de 14,1 %, lo que evidencia una recuperación de tan solo 0,4 puntos porcentuales frente a diciembre 2020, En este mes había 1.824.000 de personas ocupadas, es decir 22 mil más que en el mismo mes de 2020 y 301.000 desempleados, con 5.000 personas menos en igual mes del año anterior, La tasa de desempleo de Colombia el año pasado fue de 13,7 %, porcentaje que evidencia una reducción de 2,2 puntos porcentuales frente al 15,9 % con que cerró 2020, año de llegada de la pandemia. Sin embargo, aún no se alcanza la tasa de desempleo de 2019, que era de 10,5 %.</w:t>
      </w:r>
    </w:p>
    <w:p w14:paraId="527F5AA7" w14:textId="2267F1B8" w:rsidR="00C76975" w:rsidRPr="00C76975" w:rsidRDefault="00C76975" w:rsidP="00C76975">
      <w:pPr>
        <w:rPr>
          <w:rFonts w:ascii="Arial" w:hAnsi="Arial" w:cs="Arial"/>
          <w:sz w:val="24"/>
          <w:szCs w:val="24"/>
        </w:rPr>
      </w:pPr>
      <w:r w:rsidRPr="00C76975">
        <w:rPr>
          <w:rFonts w:ascii="Arial" w:hAnsi="Arial" w:cs="Arial"/>
          <w:sz w:val="24"/>
          <w:szCs w:val="24"/>
        </w:rPr>
        <w:t>A cierre de 2019 en el país había 22,2 millones de personas ocupadas, número que se redujo a 19,8 millones en 2020 y el año anterior creció a 21 millones, lo que indica que el país todavía tiene un desafío grande para reducir la población desempleada frente a la que había en 2019 y aún faltan por recuperar 1,2 millones de empleos que se perdieron con la pandemia, Según el más reciente informe del Departamento Administrativo Nacional de Estadística (DANE), Medellín registra una tasa de desempleo de 10.9 %, es decir que se redujo en 2.9 puntos porcentuales en comparación con el mismo trimestre de 2021, cuando fue de 13.8 %.</w:t>
      </w:r>
    </w:p>
    <w:p w14:paraId="7AC5A3BD" w14:textId="77777777" w:rsidR="00C76975" w:rsidRPr="00C76975" w:rsidRDefault="00C76975" w:rsidP="00C76975">
      <w:pPr>
        <w:rPr>
          <w:rFonts w:ascii="Arial" w:hAnsi="Arial" w:cs="Arial"/>
          <w:sz w:val="24"/>
          <w:szCs w:val="24"/>
        </w:rPr>
      </w:pPr>
      <w:r w:rsidRPr="00C76975">
        <w:rPr>
          <w:rFonts w:ascii="Arial" w:hAnsi="Arial" w:cs="Arial"/>
          <w:sz w:val="24"/>
          <w:szCs w:val="24"/>
        </w:rPr>
        <w:t>“En el último trimestre, la tasa de desempleo en el área metropolitana fue de 10.9 %. Con respecto al año pasado mejoramos 2.9 %. Si nos comparamos con el pico de la pandemia se han recuperado y generado 600.000 nuevos puestos de trabajo. Esto, gracias al compromiso de cada uno de los empresarios, de los comerciantes, del talento de la ciudad que se conecta con las oportunidades laborales y el emprendimiento; y así, todos sumamos esfuerzos para lograr que la tasa de desempleo llegue a un solo dígito”, dijo el secretario de Desarrollo Económico, Mauricio Valencia.</w:t>
      </w:r>
    </w:p>
    <w:p w14:paraId="0B277928" w14:textId="77777777" w:rsidR="00C76975" w:rsidRPr="00C76975" w:rsidRDefault="00C76975" w:rsidP="00C76975">
      <w:pPr>
        <w:rPr>
          <w:rFonts w:ascii="Arial" w:hAnsi="Arial" w:cs="Arial"/>
          <w:sz w:val="24"/>
          <w:szCs w:val="24"/>
        </w:rPr>
      </w:pPr>
      <w:r w:rsidRPr="00C76975">
        <w:rPr>
          <w:rFonts w:ascii="Arial" w:hAnsi="Arial" w:cs="Arial"/>
          <w:sz w:val="24"/>
          <w:szCs w:val="24"/>
        </w:rPr>
        <w:t>En el trimestre agosto-octubre de 2022, en Medellín y el área metropolitana se generaron 291.734 empleos más, comparado con el mismo periodo de 2021, lo que evidencia la continuidad en el proceso de recuperación de la economía local. El número de personas empleadas pasó de 1.689.244 a 1.980.978 durante el mismo periodo.</w:t>
      </w:r>
    </w:p>
    <w:p w14:paraId="045FB1CD" w14:textId="77777777" w:rsidR="00C76975" w:rsidRPr="00C76975" w:rsidRDefault="00C76975" w:rsidP="00C76975">
      <w:pPr>
        <w:rPr>
          <w:rFonts w:ascii="Arial" w:hAnsi="Arial" w:cs="Arial"/>
          <w:sz w:val="24"/>
          <w:szCs w:val="24"/>
        </w:rPr>
      </w:pPr>
      <w:r w:rsidRPr="00C76975">
        <w:rPr>
          <w:rFonts w:ascii="Arial" w:hAnsi="Arial" w:cs="Arial"/>
          <w:sz w:val="24"/>
          <w:szCs w:val="24"/>
        </w:rPr>
        <w:lastRenderedPageBreak/>
        <w:t>Adicionalmente, Medellín se consolida entre las tres ciudades de Colombia con menor tasa de informalidad laboral, con 38,7 %, después de Manizales que tiene 37 % y de Bogotá con un 36,1 %. Este hecho demuestra que la recuperación del mercado laboral de la ciudad se viene dando a partir de la generación de puestos de trabajo formal y con mejores condiciones de ingresos y de seguridad social para las personas.</w:t>
      </w:r>
    </w:p>
    <w:p w14:paraId="6634B6C6" w14:textId="1B52A9F7" w:rsidR="00C76975" w:rsidRPr="00C76975" w:rsidRDefault="00C76975" w:rsidP="00C76975">
      <w:pPr>
        <w:rPr>
          <w:rFonts w:ascii="Arial" w:hAnsi="Arial" w:cs="Arial"/>
          <w:sz w:val="24"/>
          <w:szCs w:val="24"/>
        </w:rPr>
      </w:pPr>
      <w:r w:rsidRPr="00C76975">
        <w:rPr>
          <w:rFonts w:ascii="Arial" w:hAnsi="Arial" w:cs="Arial"/>
          <w:sz w:val="24"/>
          <w:szCs w:val="24"/>
        </w:rPr>
        <w:t>Las actividades económicas que más aportaron a la recuperación de empleos fueron la industria manufacturera con 80.224 puestos de trabajo recuperados; comercio y reparación de vehículos con 52.625; y transporte y almacenamiento con 34.519.</w:t>
      </w:r>
    </w:p>
    <w:p w14:paraId="46491712" w14:textId="05119947" w:rsidR="00C76975" w:rsidRDefault="00C76975" w:rsidP="00C76975">
      <w:pPr>
        <w:rPr>
          <w:rFonts w:ascii="Arial" w:hAnsi="Arial" w:cs="Arial"/>
          <w:sz w:val="24"/>
          <w:szCs w:val="24"/>
        </w:rPr>
      </w:pPr>
      <w:r w:rsidRPr="00C76975">
        <w:rPr>
          <w:rFonts w:ascii="Arial" w:hAnsi="Arial" w:cs="Arial"/>
          <w:sz w:val="24"/>
          <w:szCs w:val="24"/>
        </w:rPr>
        <w:t>La recuperación económica de la ciudad es una de las prioridades dentro del Plan de Desarrollo Medellín Futuro. Es por eso que la Administración Distrital trabaja de la mano con el sector empresarial para seguir mejorando los indicadores del mercado laboral.</w:t>
      </w:r>
    </w:p>
    <w:p w14:paraId="67E190D7" w14:textId="14F9370E" w:rsidR="0098622A" w:rsidRDefault="00C76975" w:rsidP="00C76975">
      <w:pPr>
        <w:jc w:val="both"/>
        <w:rPr>
          <w:rFonts w:ascii="Arial" w:hAnsi="Arial" w:cs="Arial"/>
          <w:sz w:val="24"/>
          <w:szCs w:val="24"/>
        </w:rPr>
      </w:pPr>
      <w:r>
        <w:rPr>
          <w:rFonts w:ascii="Arial" w:hAnsi="Arial" w:cs="Arial"/>
          <w:sz w:val="24"/>
          <w:szCs w:val="24"/>
        </w:rPr>
        <w:t>3.</w:t>
      </w:r>
      <w:r w:rsidR="0098622A" w:rsidRPr="00C76975">
        <w:rPr>
          <w:rFonts w:ascii="Arial" w:hAnsi="Arial" w:cs="Arial"/>
          <w:sz w:val="24"/>
          <w:szCs w:val="24"/>
        </w:rPr>
        <w:t xml:space="preserve">Tasa de inflación Medellín </w:t>
      </w:r>
    </w:p>
    <w:p w14:paraId="5AE2FE66" w14:textId="77777777" w:rsidR="00C76975" w:rsidRPr="00C76975" w:rsidRDefault="00C76975" w:rsidP="00C76975">
      <w:pPr>
        <w:rPr>
          <w:rFonts w:ascii="Arial" w:hAnsi="Arial" w:cs="Arial"/>
          <w:sz w:val="24"/>
          <w:szCs w:val="24"/>
        </w:rPr>
      </w:pPr>
      <w:r w:rsidRPr="00C76975">
        <w:rPr>
          <w:rFonts w:ascii="Arial" w:hAnsi="Arial" w:cs="Arial"/>
          <w:sz w:val="24"/>
          <w:szCs w:val="24"/>
        </w:rPr>
        <w:t>El índice de precios al consumidor (IPC) mide la evolución del costo promedio de una canasta de bienes y servicios representativa del consumo final de los hogares.</w:t>
      </w:r>
    </w:p>
    <w:p w14:paraId="51466AFE" w14:textId="77777777" w:rsidR="00C76975" w:rsidRPr="00C76975" w:rsidRDefault="00C76975" w:rsidP="00C76975">
      <w:pPr>
        <w:rPr>
          <w:rFonts w:ascii="Arial" w:hAnsi="Arial" w:cs="Arial"/>
          <w:sz w:val="24"/>
          <w:szCs w:val="24"/>
        </w:rPr>
      </w:pPr>
      <w:r w:rsidRPr="00C76975">
        <w:rPr>
          <w:rFonts w:ascii="Arial" w:hAnsi="Arial" w:cs="Arial"/>
          <w:sz w:val="24"/>
          <w:szCs w:val="24"/>
        </w:rPr>
        <w:t>En el año 2020 la inflación anual del país fue del 1,61%, siendo el más bajo de la historia estadística del </w:t>
      </w:r>
      <w:hyperlink r:id="rId5" w:tgtFrame="_blank" w:history="1">
        <w:r w:rsidRPr="00C76975">
          <w:rPr>
            <w:rStyle w:val="Hipervnculo"/>
            <w:rFonts w:ascii="Arial" w:hAnsi="Arial" w:cs="Arial"/>
            <w:sz w:val="24"/>
            <w:szCs w:val="24"/>
          </w:rPr>
          <w:t>DANE</w:t>
        </w:r>
      </w:hyperlink>
      <w:r w:rsidRPr="00C76975">
        <w:rPr>
          <w:rFonts w:ascii="Arial" w:hAnsi="Arial" w:cs="Arial"/>
          <w:sz w:val="24"/>
          <w:szCs w:val="24"/>
        </w:rPr>
        <w:t> desde 1954. Sin embargo, entre las ciudades con la inflación más alta, Medellín ocupó la tercera posición, con 2,58%, siendo cerca de un punto porcentual más alto que el dato nacional. Los primeros lugares fueron para Cúcuta y Popayán, con 2,89% y 2,68%, respectivamente.</w:t>
      </w:r>
    </w:p>
    <w:p w14:paraId="1583673F" w14:textId="77777777" w:rsidR="00C76975" w:rsidRPr="00C76975" w:rsidRDefault="00C76975" w:rsidP="00C76975">
      <w:pPr>
        <w:rPr>
          <w:rFonts w:ascii="Arial" w:hAnsi="Arial" w:cs="Arial"/>
          <w:sz w:val="24"/>
          <w:szCs w:val="24"/>
        </w:rPr>
      </w:pPr>
      <w:r w:rsidRPr="00C76975">
        <w:rPr>
          <w:rFonts w:ascii="Arial" w:hAnsi="Arial" w:cs="Arial"/>
          <w:sz w:val="24"/>
          <w:szCs w:val="24"/>
        </w:rPr>
        <w:t>La inflación</w:t>
      </w:r>
    </w:p>
    <w:p w14:paraId="6D1C8E9C" w14:textId="77777777" w:rsidR="00C76975" w:rsidRPr="00C76975" w:rsidRDefault="00C76975" w:rsidP="00C76975">
      <w:pPr>
        <w:rPr>
          <w:rFonts w:ascii="Arial" w:hAnsi="Arial" w:cs="Arial"/>
          <w:sz w:val="24"/>
          <w:szCs w:val="24"/>
        </w:rPr>
      </w:pPr>
      <w:r w:rsidRPr="00C76975">
        <w:rPr>
          <w:rFonts w:ascii="Arial" w:hAnsi="Arial" w:cs="Arial"/>
          <w:sz w:val="24"/>
          <w:szCs w:val="24"/>
        </w:rPr>
        <w:t>Durante los primeros cuatro meses del año en curso, la inflación anual del país era inferior al 2% y en Medellín se situaba por debajo del 3%, sin embargo, los bloqueos a las vías generados por el paro nacional afectaron el comportamiento de los precios de distintos bienes durante mayo, especialmente los alimentos, pues en varias zonas del país hubo desabastecimiento, lo cual incrementó el precio final de los productos.</w:t>
      </w:r>
    </w:p>
    <w:p w14:paraId="7B97F5BF" w14:textId="77777777" w:rsidR="00C76975" w:rsidRPr="00C76975" w:rsidRDefault="00C76975" w:rsidP="00C76975">
      <w:pPr>
        <w:rPr>
          <w:rFonts w:ascii="Arial" w:hAnsi="Arial" w:cs="Arial"/>
          <w:sz w:val="24"/>
          <w:szCs w:val="24"/>
        </w:rPr>
      </w:pPr>
      <w:r w:rsidRPr="00C76975">
        <w:rPr>
          <w:rFonts w:ascii="Arial" w:hAnsi="Arial" w:cs="Arial"/>
          <w:sz w:val="24"/>
          <w:szCs w:val="24"/>
        </w:rPr>
        <w:t>A partir de mayo el IPC ha incrementado mes a mes, de acuerdo con el último reporte del </w:t>
      </w:r>
      <w:hyperlink r:id="rId6" w:tgtFrame="_blank" w:history="1">
        <w:r w:rsidRPr="00C76975">
          <w:rPr>
            <w:rStyle w:val="Hipervnculo"/>
            <w:rFonts w:ascii="Arial" w:hAnsi="Arial" w:cs="Arial"/>
            <w:sz w:val="24"/>
            <w:szCs w:val="24"/>
          </w:rPr>
          <w:t>DANE</w:t>
        </w:r>
      </w:hyperlink>
      <w:r w:rsidRPr="00C76975">
        <w:rPr>
          <w:rFonts w:ascii="Arial" w:hAnsi="Arial" w:cs="Arial"/>
          <w:sz w:val="24"/>
          <w:szCs w:val="24"/>
        </w:rPr>
        <w:t> correspondiente a julio, se evidenció que la variación nacional anual fue 3,97% y para Medellín fue del 4,35%, lo que indica que el Índice de Precios al Consumidor (IPC) en la capital antioqueña continúa siendo superior al dato nacional.</w:t>
      </w:r>
    </w:p>
    <w:p w14:paraId="0678AD1B" w14:textId="771FAD81" w:rsidR="00C76975" w:rsidRPr="00C76975" w:rsidRDefault="00C76975" w:rsidP="00C76975">
      <w:pPr>
        <w:rPr>
          <w:rFonts w:ascii="Arial" w:hAnsi="Arial" w:cs="Arial"/>
          <w:sz w:val="24"/>
          <w:szCs w:val="24"/>
        </w:rPr>
      </w:pPr>
      <w:r w:rsidRPr="00C76975">
        <w:rPr>
          <w:rFonts w:ascii="Arial" w:hAnsi="Arial" w:cs="Arial"/>
          <w:sz w:val="24"/>
          <w:szCs w:val="24"/>
        </w:rPr>
        <w:t xml:space="preserve">Adicional, con la inflación suben los cánones de arrendamiento de vivienda, las cuotas de los créditos hipotecarios que se manejan según la Unidad de Valor Real (UVR), atado a la inflación, los trámites públicos como los servicios notariales se incrementan cada año de acuerdo con el IPC, comparendos de tránsito, cuotas </w:t>
      </w:r>
      <w:r w:rsidRPr="00C76975">
        <w:rPr>
          <w:rFonts w:ascii="Arial" w:hAnsi="Arial" w:cs="Arial"/>
          <w:sz w:val="24"/>
          <w:szCs w:val="24"/>
        </w:rPr>
        <w:lastRenderedPageBreak/>
        <w:t>moderadoras de las EPS, entre otros, Los datos de inflación recientes están generando gran preocupación entre analistas, economistas, banqueros y empresarios.</w:t>
      </w:r>
    </w:p>
    <w:p w14:paraId="5E959762" w14:textId="77777777" w:rsidR="00C76975" w:rsidRPr="00C76975" w:rsidRDefault="00C76975" w:rsidP="00C76975">
      <w:pPr>
        <w:rPr>
          <w:rFonts w:ascii="Arial" w:hAnsi="Arial" w:cs="Arial"/>
          <w:sz w:val="24"/>
          <w:szCs w:val="24"/>
        </w:rPr>
      </w:pPr>
      <w:r w:rsidRPr="00C76975">
        <w:rPr>
          <w:rFonts w:ascii="Arial" w:hAnsi="Arial" w:cs="Arial"/>
          <w:sz w:val="24"/>
          <w:szCs w:val="24"/>
        </w:rPr>
        <w:t>De acuerdo con el </w:t>
      </w:r>
      <w:hyperlink r:id="rId7" w:tgtFrame="_blank" w:history="1">
        <w:r w:rsidRPr="00C76975">
          <w:rPr>
            <w:rStyle w:val="Hipervnculo"/>
            <w:rFonts w:ascii="Arial" w:hAnsi="Arial" w:cs="Arial"/>
            <w:sz w:val="24"/>
            <w:szCs w:val="24"/>
          </w:rPr>
          <w:t>DANE</w:t>
        </w:r>
      </w:hyperlink>
      <w:r w:rsidRPr="00C76975">
        <w:rPr>
          <w:rFonts w:ascii="Arial" w:hAnsi="Arial" w:cs="Arial"/>
          <w:sz w:val="24"/>
          <w:szCs w:val="24"/>
        </w:rPr>
        <w:t>, la variación del Índice de Precios al Consumidor «IPC» en septiembre la cifra mensual fue de 0,38%; en el año corrido (enero-septiembre) el dato llegó a 4,33% y la anualizada cerró en 4,51%. Ahora bien, no todos los precios están aumentando de la misma manera. Son esencialmente los alimentos y la energía los que están presionando la inflación al alza.</w:t>
      </w:r>
    </w:p>
    <w:p w14:paraId="2BDD7BBF" w14:textId="77777777" w:rsidR="00C76975" w:rsidRPr="00C76975" w:rsidRDefault="00C76975" w:rsidP="00C76975">
      <w:pPr>
        <w:rPr>
          <w:rFonts w:ascii="Arial" w:hAnsi="Arial" w:cs="Arial"/>
          <w:sz w:val="24"/>
          <w:szCs w:val="24"/>
        </w:rPr>
      </w:pPr>
      <w:r w:rsidRPr="00C76975">
        <w:rPr>
          <w:rFonts w:ascii="Arial" w:hAnsi="Arial" w:cs="Arial"/>
          <w:sz w:val="24"/>
          <w:szCs w:val="24"/>
        </w:rPr>
        <w:t>En Medellín, la variación mensual del IPC fue de 0,55%, año corrido llegó al 4,21%, y el dato anual (septiembre de 2020 a septiembre de 2021) fue de 4,84%, es decir, 0,33 puntos porcentuales mayor al IPC nacional, que se ubicó en 4,51%. El comportamiento se explica principalmente por la variación anual de las divisiones alimentos y bebidas no alcohólicas y alojamiento, agua, electricidad, gas y otros combustibles.</w:t>
      </w:r>
    </w:p>
    <w:p w14:paraId="242801E9" w14:textId="66BF087B" w:rsidR="00C76975" w:rsidRPr="00C76975" w:rsidRDefault="00C76975" w:rsidP="00C76975">
      <w:pPr>
        <w:rPr>
          <w:rFonts w:ascii="Arial" w:hAnsi="Arial" w:cs="Arial"/>
          <w:sz w:val="24"/>
          <w:szCs w:val="24"/>
        </w:rPr>
      </w:pPr>
      <w:r w:rsidRPr="00C76975">
        <w:rPr>
          <w:rFonts w:ascii="Arial" w:hAnsi="Arial" w:cs="Arial"/>
          <w:sz w:val="24"/>
          <w:szCs w:val="24"/>
        </w:rPr>
        <w:t>La división alimentos y bebidas no alcohólicas registró una variación anual en Medellín de 10,25%, siendo esta la mayor. Seguido por la división de restaurantes y hoteles que registró una variación anual de 4,16%, transporte (4,02%), alojamiento, agua, electricidad, gas y otros combustibles (3,89%), salud (3,86%), bienes y servicios diversos (3,85%), prendas de vestir y calzado (3,56%), muebles, artículos para el hogar (2,94%), bebidas alcohólicas y tabaco (2,7%), educación (2,37%) y con variación negativa estuvieron las divisiones de información y comunicación (-4,63%) y recreación y cultura (-0,15%).</w:t>
      </w:r>
    </w:p>
    <w:p w14:paraId="5C0FE01C" w14:textId="2023A35E" w:rsidR="0098622A" w:rsidRDefault="00C76975" w:rsidP="00C76975">
      <w:pPr>
        <w:jc w:val="both"/>
        <w:rPr>
          <w:rFonts w:ascii="Arial" w:hAnsi="Arial" w:cs="Arial"/>
          <w:sz w:val="24"/>
          <w:szCs w:val="24"/>
        </w:rPr>
      </w:pPr>
      <w:r>
        <w:rPr>
          <w:rFonts w:ascii="Arial" w:hAnsi="Arial" w:cs="Arial"/>
          <w:sz w:val="24"/>
          <w:szCs w:val="24"/>
        </w:rPr>
        <w:t>4.</w:t>
      </w:r>
      <w:r w:rsidR="0098622A" w:rsidRPr="00C76975">
        <w:rPr>
          <w:rFonts w:ascii="Arial" w:hAnsi="Arial" w:cs="Arial"/>
          <w:sz w:val="24"/>
          <w:szCs w:val="24"/>
        </w:rPr>
        <w:t>Índice de pobreza</w:t>
      </w:r>
    </w:p>
    <w:p w14:paraId="30C01037" w14:textId="77777777" w:rsidR="00A00926" w:rsidRPr="00A00926" w:rsidRDefault="00A00926" w:rsidP="00A00926">
      <w:pPr>
        <w:rPr>
          <w:rFonts w:ascii="Arial" w:hAnsi="Arial" w:cs="Arial"/>
          <w:sz w:val="24"/>
          <w:szCs w:val="24"/>
        </w:rPr>
      </w:pPr>
      <w:r w:rsidRPr="00A00926">
        <w:rPr>
          <w:rFonts w:ascii="Arial" w:hAnsi="Arial" w:cs="Arial"/>
          <w:sz w:val="24"/>
          <w:szCs w:val="24"/>
        </w:rPr>
        <w:t>Según el informe de Pobreza Monetaria 2021, presentado por el Departamento Administrativo Nacional de Estadística, DANE, Medellín lidera la reducción de pobreza entre las principales ciudades del país al alcanzar el menor porcentaje de población que vive en esta situación, con un 27,6 %,  cifra más positiva que la de Bogotá, que tiene el 35,8 %.</w:t>
      </w:r>
    </w:p>
    <w:p w14:paraId="533ACB59" w14:textId="77777777" w:rsidR="00A00926" w:rsidRPr="00A00926" w:rsidRDefault="00A00926" w:rsidP="00A00926">
      <w:pPr>
        <w:rPr>
          <w:rFonts w:ascii="Arial" w:hAnsi="Arial" w:cs="Arial"/>
          <w:sz w:val="24"/>
          <w:szCs w:val="24"/>
        </w:rPr>
      </w:pPr>
      <w:r w:rsidRPr="00A00926">
        <w:rPr>
          <w:rFonts w:ascii="Arial" w:hAnsi="Arial" w:cs="Arial"/>
          <w:sz w:val="24"/>
          <w:szCs w:val="24"/>
        </w:rPr>
        <w:t xml:space="preserve">El estudio indica que en Medellín se consideran pobres los hogares con ingresos </w:t>
      </w:r>
      <w:proofErr w:type="spellStart"/>
      <w:r w:rsidRPr="00A00926">
        <w:rPr>
          <w:rFonts w:ascii="Arial" w:hAnsi="Arial" w:cs="Arial"/>
          <w:sz w:val="24"/>
          <w:szCs w:val="24"/>
        </w:rPr>
        <w:t>percápita</w:t>
      </w:r>
      <w:proofErr w:type="spellEnd"/>
      <w:r w:rsidRPr="00A00926">
        <w:rPr>
          <w:rFonts w:ascii="Arial" w:hAnsi="Arial" w:cs="Arial"/>
          <w:sz w:val="24"/>
          <w:szCs w:val="24"/>
        </w:rPr>
        <w:t xml:space="preserve"> mensuales inferiores a $438.592 y hogares pobres extremos a aquellos con ingresos </w:t>
      </w:r>
      <w:proofErr w:type="spellStart"/>
      <w:r w:rsidRPr="00A00926">
        <w:rPr>
          <w:rFonts w:ascii="Arial" w:hAnsi="Arial" w:cs="Arial"/>
          <w:sz w:val="24"/>
          <w:szCs w:val="24"/>
        </w:rPr>
        <w:t>percápita</w:t>
      </w:r>
      <w:proofErr w:type="spellEnd"/>
      <w:r w:rsidRPr="00A00926">
        <w:rPr>
          <w:rFonts w:ascii="Arial" w:hAnsi="Arial" w:cs="Arial"/>
          <w:sz w:val="24"/>
          <w:szCs w:val="24"/>
        </w:rPr>
        <w:t xml:space="preserve"> menores a $164.075.</w:t>
      </w:r>
    </w:p>
    <w:p w14:paraId="1197E61C" w14:textId="794A7555" w:rsidR="00A00926" w:rsidRPr="00A00926" w:rsidRDefault="00A00926" w:rsidP="00A00926">
      <w:pPr>
        <w:rPr>
          <w:rFonts w:ascii="Arial" w:hAnsi="Arial" w:cs="Arial"/>
          <w:sz w:val="24"/>
          <w:szCs w:val="24"/>
        </w:rPr>
      </w:pPr>
      <w:r w:rsidRPr="00A00926">
        <w:rPr>
          <w:rFonts w:ascii="Arial" w:hAnsi="Arial" w:cs="Arial"/>
          <w:sz w:val="24"/>
          <w:szCs w:val="24"/>
        </w:rPr>
        <w:t>Entre los años 2020, 2021 y 2022, gracias a las acciones implementadas por la Administración Municipal, que buscan disminuir las brechas de desigualdad, se ha logrado que 6.296 familias superen su condición de pobreza monetaria y multidimensional. Además, 54.000 hogares, que equivalen a 236.586 personas, han sido acompañados por más de 200 gestores territoriales, quienes identifican las privaciones y capacidades que tiene cada familia, para luego acercar oportunidades orientadas a la reducción de la pobreza.</w:t>
      </w:r>
    </w:p>
    <w:p w14:paraId="5DF7BDA5" w14:textId="2AEF32A2" w:rsidR="00A00926" w:rsidRPr="00A00926" w:rsidRDefault="00A00926" w:rsidP="00A00926">
      <w:pPr>
        <w:rPr>
          <w:rFonts w:ascii="Arial" w:hAnsi="Arial" w:cs="Arial"/>
          <w:sz w:val="24"/>
          <w:szCs w:val="24"/>
        </w:rPr>
      </w:pPr>
      <w:r w:rsidRPr="00A00926">
        <w:rPr>
          <w:rFonts w:ascii="Arial" w:hAnsi="Arial" w:cs="Arial"/>
          <w:sz w:val="24"/>
          <w:szCs w:val="24"/>
        </w:rPr>
        <w:lastRenderedPageBreak/>
        <w:t>«Las cifras que nos brinda el Gobierno Nacional  muestran que Medellín es una de las ciudades que va avanzando en sacar familias de la pobreza extrema y de la pobreza, y en hacerles un acompañamiento integral para que puedan acceder a mejores oportunidades de servicios, de oferta laboral, de desarrollo económico, de conectividad y, en general, para superar las nueve líneas de la pobreza multidimensional«, dijo el secretario de Inclusión Social, Familia y Derechos Humanos, Santiago Preciado Gallego, Solo en 2021, los gestores acercaron más de 125.000 servicios y oportunidades a los hogares que, según las necesidades, en un 46 % estaban relacionadas con el mejoramiento de la dinámica familiar, en un 20 % con salud, en un 15 % con generación de ingresos y trabajo, en un 4 % con acceso a la justicia y, en proporciones menores, se referían a servicios de educación, identificación, bancarización, nutrición y hábitat.  </w:t>
      </w:r>
    </w:p>
    <w:p w14:paraId="04335D74" w14:textId="41B0BB95" w:rsidR="00A00926" w:rsidRPr="00A00926" w:rsidRDefault="00A00926" w:rsidP="00A00926">
      <w:pPr>
        <w:rPr>
          <w:rFonts w:ascii="Arial" w:hAnsi="Arial" w:cs="Arial"/>
          <w:sz w:val="24"/>
          <w:szCs w:val="24"/>
        </w:rPr>
      </w:pPr>
      <w:r w:rsidRPr="00A00926">
        <w:rPr>
          <w:rFonts w:ascii="Arial" w:hAnsi="Arial" w:cs="Arial"/>
          <w:sz w:val="24"/>
          <w:szCs w:val="24"/>
        </w:rPr>
        <w:t>“Gracias a la buena información y al buen trabajo que hacen los gestores hemos tenido la oportunidad de acceder a la oferta que ellos nos brindan, entre la que se encuentran talleres de emprendimiento en donde nos podemos formar y, a partir de ahí, podemos generar nuevos ingresos para nuestro hogar, y así suplir muchas necesidades y tener una mejor calidad de vida. Gracias a todos ustedes que nos dan la oportunidad de, día a día, aprender y sacar adelante nuestros propios emprendimientos”, expresó Yolima López, beneficiaria de la Alcaldía de Medellín.</w:t>
      </w:r>
    </w:p>
    <w:p w14:paraId="4194DDF1" w14:textId="77777777" w:rsidR="00A00926" w:rsidRPr="00A00926" w:rsidRDefault="00A00926" w:rsidP="00A00926">
      <w:pPr>
        <w:rPr>
          <w:rFonts w:ascii="Arial" w:hAnsi="Arial" w:cs="Arial"/>
          <w:sz w:val="24"/>
          <w:szCs w:val="24"/>
        </w:rPr>
      </w:pPr>
      <w:r w:rsidRPr="00A00926">
        <w:rPr>
          <w:rFonts w:ascii="Arial" w:hAnsi="Arial" w:cs="Arial"/>
          <w:sz w:val="24"/>
          <w:szCs w:val="24"/>
        </w:rPr>
        <w:t>Finalmente, la Secretaría de Inclusión Social, Familia y Derechos Humanos instaló la Mesa Técnica del Marco de Lucha Contra la Pobreza, con el fin de coordinar y gestionar, con las diferentes dependencias de la Alcaldía de Medellín, la oferta institucional para la población en condiciones de pobreza y pobreza extrema.</w:t>
      </w:r>
    </w:p>
    <w:p w14:paraId="35FEFFEA" w14:textId="177C7A54" w:rsidR="0098622A" w:rsidRPr="00A00926" w:rsidRDefault="00A00926" w:rsidP="00A00926">
      <w:pPr>
        <w:jc w:val="both"/>
        <w:rPr>
          <w:rFonts w:ascii="Arial" w:hAnsi="Arial" w:cs="Arial"/>
          <w:sz w:val="24"/>
          <w:szCs w:val="24"/>
        </w:rPr>
      </w:pPr>
      <w:r>
        <w:rPr>
          <w:rFonts w:ascii="Arial" w:hAnsi="Arial" w:cs="Arial"/>
          <w:sz w:val="24"/>
          <w:szCs w:val="24"/>
        </w:rPr>
        <w:t>5.</w:t>
      </w:r>
      <w:r w:rsidR="0098622A" w:rsidRPr="00A00926">
        <w:rPr>
          <w:rFonts w:ascii="Arial" w:hAnsi="Arial" w:cs="Arial"/>
          <w:sz w:val="24"/>
          <w:szCs w:val="24"/>
        </w:rPr>
        <w:t xml:space="preserve">Perfil productivo del 2019 a 2022 </w:t>
      </w:r>
    </w:p>
    <w:p w14:paraId="7B7F8269" w14:textId="64E2A150" w:rsidR="0098622A" w:rsidRPr="00A00926" w:rsidRDefault="00A00926" w:rsidP="00A00926">
      <w:pPr>
        <w:jc w:val="both"/>
        <w:rPr>
          <w:rFonts w:ascii="Arial" w:hAnsi="Arial" w:cs="Arial"/>
          <w:sz w:val="24"/>
          <w:szCs w:val="24"/>
        </w:rPr>
      </w:pPr>
      <w:r>
        <w:rPr>
          <w:rFonts w:ascii="Arial" w:hAnsi="Arial" w:cs="Arial"/>
          <w:sz w:val="24"/>
          <w:szCs w:val="24"/>
        </w:rPr>
        <w:t>6.</w:t>
      </w:r>
      <w:r w:rsidR="0098622A" w:rsidRPr="00A00926">
        <w:rPr>
          <w:rFonts w:ascii="Arial" w:hAnsi="Arial" w:cs="Arial"/>
          <w:sz w:val="24"/>
          <w:szCs w:val="24"/>
        </w:rPr>
        <w:t>Bosquejo de diagnóstico utilizando los indicadores descritos</w:t>
      </w:r>
    </w:p>
    <w:p w14:paraId="54F6ED4D" w14:textId="26292A3C" w:rsidR="0098622A" w:rsidRPr="00A00926" w:rsidRDefault="00A00926" w:rsidP="00A00926">
      <w:pPr>
        <w:jc w:val="both"/>
        <w:rPr>
          <w:rFonts w:ascii="Arial" w:hAnsi="Arial" w:cs="Arial"/>
          <w:sz w:val="24"/>
          <w:szCs w:val="24"/>
        </w:rPr>
      </w:pPr>
      <w:r>
        <w:rPr>
          <w:rFonts w:ascii="Arial" w:hAnsi="Arial" w:cs="Arial"/>
          <w:sz w:val="24"/>
          <w:szCs w:val="24"/>
        </w:rPr>
        <w:t>7.</w:t>
      </w:r>
      <w:r w:rsidR="0098622A" w:rsidRPr="00A00926">
        <w:rPr>
          <w:rFonts w:ascii="Arial" w:hAnsi="Arial" w:cs="Arial"/>
          <w:sz w:val="24"/>
          <w:szCs w:val="24"/>
        </w:rPr>
        <w:t>Analizar las potencialidades de desarrollo de cada ente con base en el punto uno</w:t>
      </w:r>
    </w:p>
    <w:p w14:paraId="18BFFD70" w14:textId="7274CBA5" w:rsidR="0098622A" w:rsidRDefault="00A00926" w:rsidP="00A00926">
      <w:pPr>
        <w:jc w:val="both"/>
        <w:rPr>
          <w:rFonts w:ascii="Arial" w:hAnsi="Arial" w:cs="Arial"/>
          <w:sz w:val="24"/>
          <w:szCs w:val="24"/>
        </w:rPr>
      </w:pPr>
      <w:r>
        <w:rPr>
          <w:rFonts w:ascii="Arial" w:hAnsi="Arial" w:cs="Arial"/>
          <w:sz w:val="24"/>
          <w:szCs w:val="24"/>
        </w:rPr>
        <w:t>8.</w:t>
      </w:r>
      <w:r w:rsidR="0098622A" w:rsidRPr="00A00926">
        <w:rPr>
          <w:rFonts w:ascii="Arial" w:hAnsi="Arial" w:cs="Arial"/>
          <w:sz w:val="24"/>
          <w:szCs w:val="24"/>
        </w:rPr>
        <w:t>Conclusiones</w:t>
      </w:r>
    </w:p>
    <w:p w14:paraId="6834287C" w14:textId="25B00A30" w:rsidR="00C9201E" w:rsidRDefault="00C9201E" w:rsidP="00A00926">
      <w:pPr>
        <w:jc w:val="both"/>
        <w:rPr>
          <w:rFonts w:ascii="Arial" w:hAnsi="Arial" w:cs="Arial"/>
          <w:color w:val="000000"/>
          <w:shd w:val="clear" w:color="auto" w:fill="FFFFFF"/>
        </w:rPr>
      </w:pPr>
      <w:r>
        <w:rPr>
          <w:rFonts w:ascii="Arial" w:hAnsi="Arial" w:cs="Arial"/>
          <w:color w:val="000000"/>
          <w:shd w:val="clear" w:color="auto" w:fill="FFFFFF"/>
        </w:rPr>
        <w:t>El crecimiento económico general del país, en los últimos años, se ha manifestado en forma acelerada. Sin embargo, ese crecimiento no se ha manifestado en el sector agrícola, el cual se ha venido logrando en forma improvisada y más que nada debido a la iniciativa privada. En este sentido, los esfuerzos oficiales no han conseguido conciliar la capacidad específica de producción de los recursos físicos y humanos con su aprovechamiento racional. Los problemas o factores limitantes que el sector agrícola confronta para su desarrollo están mucho menos relacionados con el aprovechamiento del potencial de sus recursos, aspecto de solución relativamente fácil por mejoras tecnológicas, que con factores de política económica y planificación.</w:t>
      </w:r>
    </w:p>
    <w:p w14:paraId="7ADB2B62" w14:textId="77777777" w:rsidR="00C9201E" w:rsidRDefault="00C9201E" w:rsidP="00A00926">
      <w:pPr>
        <w:jc w:val="both"/>
        <w:rPr>
          <w:rFonts w:ascii="Arial" w:hAnsi="Arial" w:cs="Arial"/>
          <w:sz w:val="24"/>
          <w:szCs w:val="24"/>
        </w:rPr>
      </w:pPr>
    </w:p>
    <w:p w14:paraId="334D6302" w14:textId="77777777" w:rsidR="00C9201E" w:rsidRPr="00A00926" w:rsidRDefault="00C9201E" w:rsidP="00A00926">
      <w:pPr>
        <w:jc w:val="both"/>
        <w:rPr>
          <w:rFonts w:ascii="Arial" w:hAnsi="Arial" w:cs="Arial"/>
          <w:sz w:val="24"/>
          <w:szCs w:val="24"/>
        </w:rPr>
      </w:pPr>
    </w:p>
    <w:p w14:paraId="1C64B30E" w14:textId="51585BDB" w:rsidR="0098622A" w:rsidRDefault="0098622A" w:rsidP="00A00926">
      <w:pPr>
        <w:jc w:val="both"/>
        <w:rPr>
          <w:rFonts w:ascii="Arial" w:hAnsi="Arial" w:cs="Arial"/>
          <w:sz w:val="24"/>
          <w:szCs w:val="24"/>
        </w:rPr>
      </w:pPr>
      <w:r w:rsidRPr="00A00926">
        <w:rPr>
          <w:rFonts w:ascii="Arial" w:hAnsi="Arial" w:cs="Arial"/>
          <w:sz w:val="24"/>
          <w:szCs w:val="24"/>
        </w:rPr>
        <w:t>Relacionar bibliografía</w:t>
      </w:r>
    </w:p>
    <w:p w14:paraId="78B2544D" w14:textId="627BC8F4" w:rsidR="00A00926" w:rsidRDefault="00A00926" w:rsidP="00A00926">
      <w:pPr>
        <w:jc w:val="both"/>
        <w:rPr>
          <w:rFonts w:ascii="Arial" w:hAnsi="Arial" w:cs="Arial"/>
          <w:sz w:val="24"/>
          <w:szCs w:val="24"/>
        </w:rPr>
      </w:pPr>
      <w:r>
        <w:rPr>
          <w:rFonts w:ascii="Arial" w:hAnsi="Arial" w:cs="Arial"/>
          <w:sz w:val="24"/>
          <w:szCs w:val="24"/>
        </w:rPr>
        <w:lastRenderedPageBreak/>
        <w:t xml:space="preserve">El colombiano articulo </w:t>
      </w:r>
    </w:p>
    <w:p w14:paraId="429AC858" w14:textId="5D5A6E76" w:rsidR="00A00926" w:rsidRDefault="00A00926" w:rsidP="00A00926">
      <w:pPr>
        <w:jc w:val="both"/>
        <w:rPr>
          <w:rFonts w:ascii="Arial" w:hAnsi="Arial" w:cs="Arial"/>
          <w:sz w:val="24"/>
          <w:szCs w:val="24"/>
        </w:rPr>
      </w:pPr>
      <w:r>
        <w:rPr>
          <w:rFonts w:ascii="Arial" w:hAnsi="Arial" w:cs="Arial"/>
          <w:sz w:val="24"/>
          <w:szCs w:val="24"/>
        </w:rPr>
        <w:t xml:space="preserve">Cámara de comercio de Medellín </w:t>
      </w:r>
    </w:p>
    <w:p w14:paraId="22CA67B5" w14:textId="3DEBD75F" w:rsidR="00A00926" w:rsidRDefault="00A00926" w:rsidP="00A00926">
      <w:pPr>
        <w:jc w:val="both"/>
        <w:rPr>
          <w:rFonts w:ascii="Arial" w:hAnsi="Arial" w:cs="Arial"/>
          <w:sz w:val="24"/>
          <w:szCs w:val="24"/>
        </w:rPr>
      </w:pPr>
      <w:r>
        <w:rPr>
          <w:rFonts w:ascii="Arial" w:hAnsi="Arial" w:cs="Arial"/>
          <w:sz w:val="24"/>
          <w:szCs w:val="24"/>
        </w:rPr>
        <w:t xml:space="preserve">Dana Departamento de Planeación </w:t>
      </w:r>
    </w:p>
    <w:p w14:paraId="1C55EFCE" w14:textId="32239D2A" w:rsidR="00A00926" w:rsidRDefault="00A00926" w:rsidP="00A00926">
      <w:pPr>
        <w:jc w:val="both"/>
        <w:rPr>
          <w:rFonts w:ascii="Arial" w:hAnsi="Arial" w:cs="Arial"/>
          <w:sz w:val="24"/>
          <w:szCs w:val="24"/>
        </w:rPr>
      </w:pPr>
      <w:r>
        <w:rPr>
          <w:rFonts w:ascii="Arial" w:hAnsi="Arial" w:cs="Arial"/>
          <w:sz w:val="24"/>
          <w:szCs w:val="24"/>
        </w:rPr>
        <w:t xml:space="preserve">Página de la alcaldía de Medellín </w:t>
      </w:r>
    </w:p>
    <w:p w14:paraId="6B706D3D" w14:textId="77777777" w:rsidR="00A00926" w:rsidRPr="00A00926" w:rsidRDefault="00A00926" w:rsidP="00A00926">
      <w:pPr>
        <w:jc w:val="both"/>
        <w:rPr>
          <w:rFonts w:ascii="Arial" w:hAnsi="Arial" w:cs="Arial"/>
          <w:sz w:val="24"/>
          <w:szCs w:val="24"/>
        </w:rPr>
      </w:pPr>
    </w:p>
    <w:p w14:paraId="63BA315E" w14:textId="2DDB5B64" w:rsidR="000C55B1" w:rsidRPr="00FA1366" w:rsidRDefault="000C55B1" w:rsidP="00FA1366">
      <w:pPr>
        <w:jc w:val="both"/>
        <w:rPr>
          <w:rFonts w:ascii="Arial" w:hAnsi="Arial" w:cs="Arial"/>
          <w:sz w:val="24"/>
          <w:szCs w:val="24"/>
        </w:rPr>
      </w:pPr>
    </w:p>
    <w:sectPr w:rsidR="000C55B1" w:rsidRPr="00FA13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74E"/>
    <w:multiLevelType w:val="hybridMultilevel"/>
    <w:tmpl w:val="931C0A24"/>
    <w:lvl w:ilvl="0" w:tplc="181682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376901"/>
    <w:multiLevelType w:val="hybridMultilevel"/>
    <w:tmpl w:val="C068C966"/>
    <w:lvl w:ilvl="0" w:tplc="0512E4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3A7166"/>
    <w:multiLevelType w:val="hybridMultilevel"/>
    <w:tmpl w:val="EDC8AB56"/>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9A1041"/>
    <w:multiLevelType w:val="hybridMultilevel"/>
    <w:tmpl w:val="436CDF16"/>
    <w:lvl w:ilvl="0" w:tplc="D78C9A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B872E7A"/>
    <w:multiLevelType w:val="hybridMultilevel"/>
    <w:tmpl w:val="2FEA7A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13E35E8"/>
    <w:multiLevelType w:val="hybridMultilevel"/>
    <w:tmpl w:val="2E5AB63E"/>
    <w:lvl w:ilvl="0" w:tplc="589CF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7650871">
    <w:abstractNumId w:val="0"/>
  </w:num>
  <w:num w:numId="2" w16cid:durableId="1151291460">
    <w:abstractNumId w:val="1"/>
  </w:num>
  <w:num w:numId="3" w16cid:durableId="1020400288">
    <w:abstractNumId w:val="5"/>
  </w:num>
  <w:num w:numId="4" w16cid:durableId="2040818121">
    <w:abstractNumId w:val="4"/>
  </w:num>
  <w:num w:numId="5" w16cid:durableId="561599012">
    <w:abstractNumId w:val="3"/>
  </w:num>
  <w:num w:numId="6" w16cid:durableId="175120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CA"/>
    <w:rsid w:val="000C55B1"/>
    <w:rsid w:val="000D606D"/>
    <w:rsid w:val="002E48E6"/>
    <w:rsid w:val="003645F4"/>
    <w:rsid w:val="003A25F9"/>
    <w:rsid w:val="003C7E67"/>
    <w:rsid w:val="00442671"/>
    <w:rsid w:val="00522095"/>
    <w:rsid w:val="00576FEC"/>
    <w:rsid w:val="00587FCA"/>
    <w:rsid w:val="005E368F"/>
    <w:rsid w:val="007533EA"/>
    <w:rsid w:val="0085082B"/>
    <w:rsid w:val="00974C11"/>
    <w:rsid w:val="0098622A"/>
    <w:rsid w:val="00A00926"/>
    <w:rsid w:val="00A91B04"/>
    <w:rsid w:val="00AA1452"/>
    <w:rsid w:val="00AA4922"/>
    <w:rsid w:val="00BA2913"/>
    <w:rsid w:val="00BC2B28"/>
    <w:rsid w:val="00BC3506"/>
    <w:rsid w:val="00BF635E"/>
    <w:rsid w:val="00C76975"/>
    <w:rsid w:val="00C82B67"/>
    <w:rsid w:val="00C9201E"/>
    <w:rsid w:val="00CA2C5F"/>
    <w:rsid w:val="00D77D5B"/>
    <w:rsid w:val="00E1510C"/>
    <w:rsid w:val="00E16779"/>
    <w:rsid w:val="00E81741"/>
    <w:rsid w:val="00ED6F54"/>
    <w:rsid w:val="00EF423B"/>
    <w:rsid w:val="00F13E1A"/>
    <w:rsid w:val="00FA13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888"/>
  <w15:chartTrackingRefBased/>
  <w15:docId w15:val="{C1CA4A63-9822-469B-AB46-A158CF18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C7E6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C769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922"/>
    <w:pPr>
      <w:ind w:left="720"/>
      <w:contextualSpacing/>
    </w:pPr>
  </w:style>
  <w:style w:type="character" w:customStyle="1" w:styleId="Ttulo2Car">
    <w:name w:val="Título 2 Car"/>
    <w:basedOn w:val="Fuentedeprrafopredeter"/>
    <w:link w:val="Ttulo2"/>
    <w:uiPriority w:val="9"/>
    <w:rsid w:val="003C7E67"/>
    <w:rPr>
      <w:rFonts w:ascii="Times New Roman" w:eastAsia="Times New Roman" w:hAnsi="Times New Roman" w:cs="Times New Roman"/>
      <w:b/>
      <w:bCs/>
      <w:sz w:val="36"/>
      <w:szCs w:val="36"/>
      <w:lang w:eastAsia="es-CO"/>
    </w:rPr>
  </w:style>
  <w:style w:type="character" w:customStyle="1" w:styleId="jpfdse">
    <w:name w:val="jpfdse"/>
    <w:basedOn w:val="Fuentedeprrafopredeter"/>
    <w:rsid w:val="00BC3506"/>
  </w:style>
  <w:style w:type="character" w:styleId="Hipervnculo">
    <w:name w:val="Hyperlink"/>
    <w:basedOn w:val="Fuentedeprrafopredeter"/>
    <w:uiPriority w:val="99"/>
    <w:unhideWhenUsed/>
    <w:rsid w:val="003A25F9"/>
    <w:rPr>
      <w:color w:val="0000FF"/>
      <w:u w:val="single"/>
    </w:rPr>
  </w:style>
  <w:style w:type="character" w:styleId="Textoennegrita">
    <w:name w:val="Strong"/>
    <w:basedOn w:val="Fuentedeprrafopredeter"/>
    <w:uiPriority w:val="22"/>
    <w:qFormat/>
    <w:rsid w:val="00E1510C"/>
    <w:rPr>
      <w:b/>
      <w:bCs/>
    </w:rPr>
  </w:style>
  <w:style w:type="paragraph" w:styleId="NormalWeb">
    <w:name w:val="Normal (Web)"/>
    <w:basedOn w:val="Normal"/>
    <w:uiPriority w:val="99"/>
    <w:semiHidden/>
    <w:unhideWhenUsed/>
    <w:rsid w:val="0098622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76975"/>
    <w:rPr>
      <w:i/>
      <w:iCs/>
    </w:rPr>
  </w:style>
  <w:style w:type="character" w:customStyle="1" w:styleId="Ttulo4Car">
    <w:name w:val="Título 4 Car"/>
    <w:basedOn w:val="Fuentedeprrafopredeter"/>
    <w:link w:val="Ttulo4"/>
    <w:uiPriority w:val="9"/>
    <w:semiHidden/>
    <w:rsid w:val="00C769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503">
      <w:bodyDiv w:val="1"/>
      <w:marLeft w:val="0"/>
      <w:marRight w:val="0"/>
      <w:marTop w:val="0"/>
      <w:marBottom w:val="0"/>
      <w:divBdr>
        <w:top w:val="none" w:sz="0" w:space="0" w:color="auto"/>
        <w:left w:val="none" w:sz="0" w:space="0" w:color="auto"/>
        <w:bottom w:val="none" w:sz="0" w:space="0" w:color="auto"/>
        <w:right w:val="none" w:sz="0" w:space="0" w:color="auto"/>
      </w:divBdr>
    </w:div>
    <w:div w:id="180291063">
      <w:bodyDiv w:val="1"/>
      <w:marLeft w:val="0"/>
      <w:marRight w:val="0"/>
      <w:marTop w:val="0"/>
      <w:marBottom w:val="0"/>
      <w:divBdr>
        <w:top w:val="none" w:sz="0" w:space="0" w:color="auto"/>
        <w:left w:val="none" w:sz="0" w:space="0" w:color="auto"/>
        <w:bottom w:val="none" w:sz="0" w:space="0" w:color="auto"/>
        <w:right w:val="none" w:sz="0" w:space="0" w:color="auto"/>
      </w:divBdr>
    </w:div>
    <w:div w:id="802843852">
      <w:bodyDiv w:val="1"/>
      <w:marLeft w:val="0"/>
      <w:marRight w:val="0"/>
      <w:marTop w:val="0"/>
      <w:marBottom w:val="0"/>
      <w:divBdr>
        <w:top w:val="none" w:sz="0" w:space="0" w:color="auto"/>
        <w:left w:val="none" w:sz="0" w:space="0" w:color="auto"/>
        <w:bottom w:val="none" w:sz="0" w:space="0" w:color="auto"/>
        <w:right w:val="none" w:sz="0" w:space="0" w:color="auto"/>
      </w:divBdr>
    </w:div>
    <w:div w:id="1237790365">
      <w:bodyDiv w:val="1"/>
      <w:marLeft w:val="0"/>
      <w:marRight w:val="0"/>
      <w:marTop w:val="0"/>
      <w:marBottom w:val="0"/>
      <w:divBdr>
        <w:top w:val="none" w:sz="0" w:space="0" w:color="auto"/>
        <w:left w:val="none" w:sz="0" w:space="0" w:color="auto"/>
        <w:bottom w:val="none" w:sz="0" w:space="0" w:color="auto"/>
        <w:right w:val="none" w:sz="0" w:space="0" w:color="auto"/>
      </w:divBdr>
    </w:div>
    <w:div w:id="1374185337">
      <w:bodyDiv w:val="1"/>
      <w:marLeft w:val="0"/>
      <w:marRight w:val="0"/>
      <w:marTop w:val="0"/>
      <w:marBottom w:val="0"/>
      <w:divBdr>
        <w:top w:val="none" w:sz="0" w:space="0" w:color="auto"/>
        <w:left w:val="none" w:sz="0" w:space="0" w:color="auto"/>
        <w:bottom w:val="none" w:sz="0" w:space="0" w:color="auto"/>
        <w:right w:val="none" w:sz="0" w:space="0" w:color="auto"/>
      </w:divBdr>
    </w:div>
    <w:div w:id="1457605922">
      <w:bodyDiv w:val="1"/>
      <w:marLeft w:val="0"/>
      <w:marRight w:val="0"/>
      <w:marTop w:val="0"/>
      <w:marBottom w:val="0"/>
      <w:divBdr>
        <w:top w:val="none" w:sz="0" w:space="0" w:color="auto"/>
        <w:left w:val="none" w:sz="0" w:space="0" w:color="auto"/>
        <w:bottom w:val="none" w:sz="0" w:space="0" w:color="auto"/>
        <w:right w:val="none" w:sz="0" w:space="0" w:color="auto"/>
      </w:divBdr>
    </w:div>
    <w:div w:id="1737630667">
      <w:bodyDiv w:val="1"/>
      <w:marLeft w:val="0"/>
      <w:marRight w:val="0"/>
      <w:marTop w:val="0"/>
      <w:marBottom w:val="0"/>
      <w:divBdr>
        <w:top w:val="none" w:sz="0" w:space="0" w:color="auto"/>
        <w:left w:val="none" w:sz="0" w:space="0" w:color="auto"/>
        <w:bottom w:val="none" w:sz="0" w:space="0" w:color="auto"/>
        <w:right w:val="none" w:sz="0" w:space="0" w:color="auto"/>
      </w:divBdr>
    </w:div>
    <w:div w:id="1759406503">
      <w:bodyDiv w:val="1"/>
      <w:marLeft w:val="0"/>
      <w:marRight w:val="0"/>
      <w:marTop w:val="0"/>
      <w:marBottom w:val="0"/>
      <w:divBdr>
        <w:top w:val="none" w:sz="0" w:space="0" w:color="auto"/>
        <w:left w:val="none" w:sz="0" w:space="0" w:color="auto"/>
        <w:bottom w:val="none" w:sz="0" w:space="0" w:color="auto"/>
        <w:right w:val="none" w:sz="0" w:space="0" w:color="auto"/>
      </w:divBdr>
    </w:div>
    <w:div w:id="1837721946">
      <w:bodyDiv w:val="1"/>
      <w:marLeft w:val="0"/>
      <w:marRight w:val="0"/>
      <w:marTop w:val="0"/>
      <w:marBottom w:val="0"/>
      <w:divBdr>
        <w:top w:val="none" w:sz="0" w:space="0" w:color="auto"/>
        <w:left w:val="none" w:sz="0" w:space="0" w:color="auto"/>
        <w:bottom w:val="none" w:sz="0" w:space="0" w:color="auto"/>
        <w:right w:val="none" w:sz="0" w:space="0" w:color="auto"/>
      </w:divBdr>
      <w:divsChild>
        <w:div w:id="883175633">
          <w:marLeft w:val="0"/>
          <w:marRight w:val="0"/>
          <w:marTop w:val="0"/>
          <w:marBottom w:val="0"/>
          <w:divBdr>
            <w:top w:val="none" w:sz="0" w:space="0" w:color="auto"/>
            <w:left w:val="none" w:sz="0" w:space="0" w:color="auto"/>
            <w:bottom w:val="none" w:sz="0" w:space="0" w:color="auto"/>
            <w:right w:val="none" w:sz="0" w:space="0" w:color="auto"/>
          </w:divBdr>
        </w:div>
        <w:div w:id="1611086775">
          <w:marLeft w:val="0"/>
          <w:marRight w:val="0"/>
          <w:marTop w:val="0"/>
          <w:marBottom w:val="0"/>
          <w:divBdr>
            <w:top w:val="none" w:sz="0" w:space="0" w:color="auto"/>
            <w:left w:val="none" w:sz="0" w:space="0" w:color="auto"/>
            <w:bottom w:val="none" w:sz="0" w:space="0" w:color="auto"/>
            <w:right w:val="none" w:sz="0" w:space="0" w:color="auto"/>
          </w:divBdr>
        </w:div>
      </w:divsChild>
    </w:div>
    <w:div w:id="1854412975">
      <w:bodyDiv w:val="1"/>
      <w:marLeft w:val="0"/>
      <w:marRight w:val="0"/>
      <w:marTop w:val="0"/>
      <w:marBottom w:val="0"/>
      <w:divBdr>
        <w:top w:val="none" w:sz="0" w:space="0" w:color="auto"/>
        <w:left w:val="none" w:sz="0" w:space="0" w:color="auto"/>
        <w:bottom w:val="none" w:sz="0" w:space="0" w:color="auto"/>
        <w:right w:val="none" w:sz="0" w:space="0" w:color="auto"/>
      </w:divBdr>
    </w:div>
    <w:div w:id="19537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ne.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ne.gov.co/" TargetMode="External"/><Relationship Id="rId5" Type="http://schemas.openxmlformats.org/officeDocument/2006/relationships/hyperlink" Target="https://www.dane.gov.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1963</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Andrea Ortega Franco</cp:lastModifiedBy>
  <cp:revision>20</cp:revision>
  <dcterms:created xsi:type="dcterms:W3CDTF">2022-08-27T21:48:00Z</dcterms:created>
  <dcterms:modified xsi:type="dcterms:W3CDTF">2023-05-12T02:30:00Z</dcterms:modified>
</cp:coreProperties>
</file>