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2"/>
          <w:szCs w:val="52"/>
          <w:highlight w:val="white"/>
        </w:rPr>
      </w:pPr>
      <w:r w:rsidDel="00000000" w:rsidR="00000000" w:rsidRPr="00000000">
        <w:rPr>
          <w:sz w:val="52"/>
          <w:szCs w:val="52"/>
          <w:highlight w:val="white"/>
          <w:rtl w:val="0"/>
        </w:rPr>
        <w:t xml:space="preserve">Evidencias de práctica en Databricks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Anamaria Torres Peña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1. Datos: consulta y conteo de inmuebles (celdas 27 y 28)</w:t>
      </w:r>
    </w:p>
    <w:p w:rsidR="00000000" w:rsidDel="00000000" w:rsidP="00000000" w:rsidRDefault="00000000" w:rsidRPr="00000000" w14:paraId="00000004">
      <w:pPr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114300" distR="114300">
            <wp:extent cx="5989320" cy="494519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5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2. Datos: validación de duplicados y registros inválidos (celda 51)</w:t>
      </w:r>
    </w:p>
    <w:p w:rsidR="00000000" w:rsidDel="00000000" w:rsidP="00000000" w:rsidRDefault="00000000" w:rsidRPr="00000000" w14:paraId="00000007">
      <w:pPr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114300" distR="114300">
            <wp:extent cx="5989320" cy="328389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83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3. Integración: pedidos antes y después de la unión</w:t>
      </w:r>
    </w:p>
    <w:p w:rsidR="00000000" w:rsidDel="00000000" w:rsidP="00000000" w:rsidRDefault="00000000" w:rsidRPr="00000000" w14:paraId="0000000A">
      <w:pPr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114300" distR="114300">
            <wp:extent cx="5989320" cy="250088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00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4. Agrupación de importes por país (celda 40)</w:t>
      </w:r>
    </w:p>
    <w:p w:rsidR="00000000" w:rsidDel="00000000" w:rsidP="00000000" w:rsidRDefault="00000000" w:rsidRPr="00000000" w14:paraId="0000000D">
      <w:pPr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114300" distR="114300">
            <wp:extent cx="5989320" cy="374587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5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5. Datos: lectura de dimensión de productos (celda 42)</w:t>
      </w:r>
    </w:p>
    <w:p w:rsidR="00000000" w:rsidDel="00000000" w:rsidP="00000000" w:rsidRDefault="00000000" w:rsidRPr="00000000" w14:paraId="00000010">
      <w:pPr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114300" distR="114300">
            <wp:extent cx="5989320" cy="322311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3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6. Persistencia: historial Delta y consulta de versión anterior (celdas 74 y 75)</w:t>
      </w:r>
    </w:p>
    <w:p w:rsidR="00000000" w:rsidDel="00000000" w:rsidP="00000000" w:rsidRDefault="00000000" w:rsidRPr="00000000" w14:paraId="00000013">
      <w:pPr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114300" distR="114300">
            <wp:extent cx="5989320" cy="330856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8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7. Gobernanza: linaje de la vista</w:t>
      </w:r>
    </w:p>
    <w:p w:rsidR="00000000" w:rsidDel="00000000" w:rsidP="00000000" w:rsidRDefault="00000000" w:rsidRPr="00000000" w14:paraId="00000016">
      <w:pPr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114300" distR="114300">
            <wp:extent cx="5989320" cy="20456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4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8. Estructura: tablas del catálogo y archivos del volumen landing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114300" distR="114300">
            <wp:extent cx="5943600" cy="268460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Preguntas para revisar lo aprendido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 Si el CSV está en un volumen, ¿qué falta para que otro notebook consulte una tabla persistente?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Falta cargar los datos del CSV y guardarlos como una tabla en el catálogo y esquema. Así, desde otro notebook se puede consultar usando el nombre de la tabla.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2. Si una unión duplica el importe total, ¿qué comprobación haríamos sobre las llaves?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Revisaría si las llaves que usamos para unir las tablas están repetidas, porque eso puede hacer que una misma venta aparezca varias veces y aumente el total.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3. Si una celda define un filtro, ¿significa que Spark ya calculó todo el resultado?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No. Spark normalmente espera hasta que se ejecute una acción, como mostrar los datos o contarlos, para hacer el cálculo.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4. Si una persona tiene SELECT sobre una tabla, ¿qué otros permisos de uso necesita?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También necesita USE CATALOG y USE SCHEMA para poder entrar al catálogo y al esquema donde está la tabla.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5. Si el historial de la tabla muestra una versión antigua, ¿basta para garantizar su recuperación?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 necesariamente. Aunque la versión aparezca en el historial, los archivos que necesita podrían haberse eliminado por las políticas de retención.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6. Si repetimos un append con el mismo archivo, ¿qué puede pasar con las ventas?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pueden agregar otra vez los mismos registros y quedar ventas duplicadas. Eso haría que los conteos y los totales aumenten incorrectamente.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