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B4CF" w14:textId="55B9C117" w:rsidR="001733B7" w:rsidRPr="0086083E" w:rsidRDefault="00BC694D" w:rsidP="0086083E">
      <w:pPr>
        <w:rPr>
          <w:rFonts w:ascii="Calibri" w:hAnsi="Calibri" w:cs="Calibri"/>
          <w:b/>
          <w:bCs/>
          <w:sz w:val="40"/>
          <w:szCs w:val="40"/>
        </w:rPr>
      </w:pPr>
      <w:r w:rsidRPr="0086083E">
        <w:rPr>
          <w:rFonts w:ascii="Calibri" w:hAnsi="Calibri" w:cs="Calibri"/>
          <w:b/>
          <w:bCs/>
          <w:sz w:val="40"/>
          <w:szCs w:val="40"/>
        </w:rPr>
        <w:t xml:space="preserve">Guía </w:t>
      </w:r>
      <w:r w:rsidR="001733B7" w:rsidRPr="0086083E">
        <w:rPr>
          <w:rFonts w:ascii="Calibri" w:hAnsi="Calibri" w:cs="Calibri"/>
          <w:b/>
          <w:bCs/>
          <w:sz w:val="40"/>
          <w:szCs w:val="40"/>
        </w:rPr>
        <w:t>Básica de Primeros Auxilios en el Hogar</w:t>
      </w:r>
    </w:p>
    <w:p w14:paraId="791B68CD" w14:textId="43DDF637" w:rsidR="001733B7" w:rsidRPr="0086083E" w:rsidRDefault="001733B7" w:rsidP="0086083E">
      <w:pPr>
        <w:rPr>
          <w:rFonts w:ascii="Calibri" w:hAnsi="Calibri" w:cs="Calibri"/>
          <w:color w:val="DAE9F7" w:themeColor="text2" w:themeTint="1A"/>
          <w:sz w:val="24"/>
          <w:szCs w:val="24"/>
        </w:rPr>
      </w:pPr>
      <w:r w:rsidRPr="0086083E">
        <w:rPr>
          <w:rFonts w:ascii="Calibri" w:hAnsi="Calibri" w:cs="Calibri"/>
          <w:color w:val="DAE9F7" w:themeColor="text2" w:themeTint="1A"/>
          <w:sz w:val="24"/>
          <w:szCs w:val="24"/>
        </w:rPr>
        <w:t>Los accidentes domésticos son una de las principales causas de lesiones, especialmente en niños y personas mayores. Tener conocimientos básicos de primeros auxilios y saber cómo reaccionar de forma rápida y segura puede marcar la diferencia en una situación de emergencia. Esta guía de la Enciclopedia Médica Ilustrada está diseñada para ofrecerle información clara sobre cómo actuar ante las incidencias más comunes en el hogar.</w:t>
      </w:r>
    </w:p>
    <w:p w14:paraId="5DD3EA90" w14:textId="77777777" w:rsidR="001733B7" w:rsidRPr="0086083E" w:rsidRDefault="001733B7" w:rsidP="0086083E">
      <w:pPr>
        <w:rPr>
          <w:rFonts w:ascii="Calibri" w:hAnsi="Calibri" w:cs="Calibri"/>
          <w:b/>
          <w:bCs/>
          <w:sz w:val="32"/>
          <w:szCs w:val="32"/>
        </w:rPr>
      </w:pPr>
      <w:r w:rsidRPr="0086083E">
        <w:rPr>
          <w:rFonts w:ascii="Calibri" w:hAnsi="Calibri" w:cs="Calibri"/>
          <w:b/>
          <w:bCs/>
          <w:sz w:val="32"/>
          <w:szCs w:val="32"/>
        </w:rPr>
        <w:t>El Botiquín de Emergencia</w:t>
      </w:r>
    </w:p>
    <w:p w14:paraId="60CADCB6" w14:textId="77777777" w:rsidR="00A30C5B" w:rsidRPr="0086083E" w:rsidRDefault="001733B7" w:rsidP="0086083E">
      <w:p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Todo hogar debe disponer de un botiquín de primeros auxilios bien equipado y en un lugar accesible para los adultos, pero fuera del alcance de los niños. Es fundamental revisar su contenido periódicamente para desechar y reponer los medicamentos caducados.</w:t>
      </w:r>
    </w:p>
    <w:p w14:paraId="5823BD5D" w14:textId="2EED4DB5" w:rsidR="008A5D5F" w:rsidRPr="0086083E" w:rsidRDefault="008A5D5F" w:rsidP="0086083E">
      <w:pPr>
        <w:rPr>
          <w:rFonts w:ascii="Calibri" w:hAnsi="Calibri" w:cs="Calibri"/>
          <w:color w:val="45B0E1" w:themeColor="accent1" w:themeTint="99"/>
          <w:sz w:val="24"/>
          <w:szCs w:val="24"/>
        </w:rPr>
      </w:pPr>
      <w:r w:rsidRPr="0086083E">
        <w:rPr>
          <w:rFonts w:ascii="Calibri" w:hAnsi="Calibri" w:cs="Calibri"/>
          <w:noProof/>
          <w:color w:val="45B0E1" w:themeColor="accent1" w:themeTint="99"/>
          <w:sz w:val="24"/>
          <w:szCs w:val="24"/>
        </w:rPr>
        <w:drawing>
          <wp:inline distT="0" distB="0" distL="0" distR="0" wp14:anchorId="1A35F186" wp14:editId="0293DD9B">
            <wp:extent cx="3093154" cy="2319867"/>
            <wp:effectExtent l="0" t="0" r="0" b="4445"/>
            <wp:docPr id="153712803" name="Imagen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803" name="Imagen 1">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9472" cy="2324605"/>
                    </a:xfrm>
                    <a:prstGeom prst="rect">
                      <a:avLst/>
                    </a:prstGeom>
                    <a:noFill/>
                    <a:ln>
                      <a:noFill/>
                    </a:ln>
                  </pic:spPr>
                </pic:pic>
              </a:graphicData>
            </a:graphic>
          </wp:inline>
        </w:drawing>
      </w:r>
    </w:p>
    <w:p w14:paraId="2EE13DAF" w14:textId="77777777" w:rsidR="001733B7" w:rsidRPr="0086083E" w:rsidRDefault="001733B7" w:rsidP="0086083E">
      <w:p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Un botiquín básico debería contener, al menos, los siguientes elementos:</w:t>
      </w:r>
    </w:p>
    <w:p w14:paraId="5C343788"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Gasas estériles de distintos tamaños.</w:t>
      </w:r>
    </w:p>
    <w:p w14:paraId="5A4334E5"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Suero fisiológico para limpiar heridas.</w:t>
      </w:r>
    </w:p>
    <w:p w14:paraId="5F5122E3"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Antisépticos (como povidona yodada o clorhexidina).</w:t>
      </w:r>
    </w:p>
    <w:p w14:paraId="46B4354F"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Tiritas, esparadrapo y vendas.</w:t>
      </w:r>
    </w:p>
    <w:p w14:paraId="0A6DDF2F"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Tijeras de punta redonda y pinzas.</w:t>
      </w:r>
    </w:p>
    <w:p w14:paraId="3417CC7E"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Termómetro.</w:t>
      </w:r>
    </w:p>
    <w:p w14:paraId="100CBD04" w14:textId="77777777" w:rsidR="001733B7" w:rsidRPr="0086083E" w:rsidRDefault="001733B7" w:rsidP="0086083E">
      <w:pPr>
        <w:pStyle w:val="Prrafodelista"/>
        <w:numPr>
          <w:ilvl w:val="0"/>
          <w:numId w:val="10"/>
        </w:numPr>
        <w:rPr>
          <w:rFonts w:ascii="Calibri" w:hAnsi="Calibri" w:cs="Calibri"/>
          <w:color w:val="45B0E1" w:themeColor="accent1" w:themeTint="99"/>
          <w:sz w:val="24"/>
          <w:szCs w:val="24"/>
        </w:rPr>
      </w:pPr>
      <w:r w:rsidRPr="0086083E">
        <w:rPr>
          <w:rFonts w:ascii="Calibri" w:hAnsi="Calibri" w:cs="Calibri"/>
          <w:color w:val="45B0E1" w:themeColor="accent1" w:themeTint="99"/>
          <w:sz w:val="24"/>
          <w:szCs w:val="24"/>
        </w:rPr>
        <w:t>Guantes de látex o vinilo.</w:t>
      </w:r>
    </w:p>
    <w:p w14:paraId="53BC019E" w14:textId="78924E54" w:rsidR="001733B7" w:rsidRPr="0086083E" w:rsidRDefault="001733B7" w:rsidP="0086083E">
      <w:pPr>
        <w:rPr>
          <w:rFonts w:ascii="Calibri" w:hAnsi="Calibri" w:cs="Calibri"/>
          <w:b/>
          <w:bCs/>
          <w:sz w:val="32"/>
          <w:szCs w:val="32"/>
        </w:rPr>
      </w:pPr>
      <w:r w:rsidRPr="0086083E">
        <w:rPr>
          <w:rStyle w:val="Ttulo2Car"/>
          <w:rFonts w:ascii="Calibri" w:hAnsi="Calibri" w:cs="Calibri"/>
          <w:b/>
          <w:bCs/>
          <w:color w:val="auto"/>
        </w:rPr>
        <w:t>Actuación ante Heridas y Hemorragias</w:t>
      </w:r>
    </w:p>
    <w:p w14:paraId="6E96E8F5" w14:textId="21B40F01" w:rsidR="001733B7" w:rsidRPr="0086083E" w:rsidRDefault="001733B7" w:rsidP="0086083E">
      <w:pPr>
        <w:rPr>
          <w:rFonts w:ascii="Calibri" w:hAnsi="Calibri" w:cs="Calibri"/>
          <w:b/>
          <w:bCs/>
          <w:sz w:val="28"/>
          <w:szCs w:val="28"/>
        </w:rPr>
      </w:pPr>
      <w:r w:rsidRPr="0086083E">
        <w:rPr>
          <w:rFonts w:ascii="Calibri" w:hAnsi="Calibri" w:cs="Calibri"/>
          <w:b/>
          <w:bCs/>
          <w:sz w:val="28"/>
          <w:szCs w:val="28"/>
        </w:rPr>
        <w:t>Cortes leves o rasguños</w:t>
      </w:r>
    </w:p>
    <w:p w14:paraId="2E73E1B0" w14:textId="164B6F81" w:rsidR="001733B7" w:rsidRPr="0086083E" w:rsidRDefault="001733B7" w:rsidP="0086083E">
      <w:pPr>
        <w:rPr>
          <w:rFonts w:ascii="Calibri" w:hAnsi="Calibri" w:cs="Calibri"/>
          <w:color w:val="C1E4F5" w:themeColor="accent1" w:themeTint="33"/>
          <w:sz w:val="24"/>
          <w:szCs w:val="24"/>
        </w:rPr>
      </w:pPr>
      <w:r w:rsidRPr="0086083E">
        <w:rPr>
          <w:rFonts w:ascii="Calibri" w:hAnsi="Calibri" w:cs="Calibri"/>
          <w:color w:val="C1E4F5" w:themeColor="accent1" w:themeTint="33"/>
          <w:sz w:val="24"/>
          <w:szCs w:val="24"/>
        </w:rPr>
        <w:t xml:space="preserve">El primer paso ante cualquier herida es lavarse bien las manos con agua y jabón antes de manipularla. A continuación, limpie la herida con agua corriente o suero fisiológico, secándola con una gasa estéril a pequeños toques (nunca frotando ni usando algodón, </w:t>
      </w:r>
      <w:r w:rsidRPr="0086083E">
        <w:rPr>
          <w:rFonts w:ascii="Calibri" w:hAnsi="Calibri" w:cs="Calibri"/>
          <w:color w:val="C1E4F5" w:themeColor="accent1" w:themeTint="33"/>
          <w:sz w:val="24"/>
          <w:szCs w:val="24"/>
        </w:rPr>
        <w:lastRenderedPageBreak/>
        <w:t>ya que deja restos). Aplique un antiséptico y cubra la zona con una tirita o vendaje si es necesario.</w:t>
      </w:r>
    </w:p>
    <w:p w14:paraId="2EA5D8F5" w14:textId="67015BC9" w:rsidR="001733B7" w:rsidRPr="0086083E" w:rsidRDefault="001733B7" w:rsidP="0086083E">
      <w:pPr>
        <w:rPr>
          <w:rFonts w:ascii="Calibri" w:hAnsi="Calibri" w:cs="Calibri"/>
          <w:b/>
          <w:bCs/>
          <w:sz w:val="28"/>
          <w:szCs w:val="28"/>
        </w:rPr>
      </w:pPr>
      <w:r w:rsidRPr="0086083E">
        <w:rPr>
          <w:rFonts w:ascii="Calibri" w:hAnsi="Calibri" w:cs="Calibri"/>
          <w:b/>
          <w:bCs/>
          <w:sz w:val="28"/>
          <w:szCs w:val="28"/>
        </w:rPr>
        <w:t>Hemorragias más severas</w:t>
      </w:r>
    </w:p>
    <w:p w14:paraId="2B80F570" w14:textId="18C40C1B" w:rsidR="001733B7" w:rsidRPr="0086083E" w:rsidRDefault="001733B7" w:rsidP="0086083E">
      <w:p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Si el corte es profundo y sangra abundantemente, el objetivo principal es detener la hemorragia. Coloque varias gasas estériles sobre la herida y presione firmemente con la mano. Si la gasa se empapa, no la retire; coloque otra limpia encima y siga presionando. Eleve la extremidad herida por encima del nivel del corazón y acuda a un centro médico lo antes posible.</w:t>
      </w:r>
    </w:p>
    <w:p w14:paraId="0D5499A4" w14:textId="34111C56" w:rsidR="001733B7" w:rsidRPr="0086083E" w:rsidRDefault="001733B7" w:rsidP="0086083E">
      <w:pPr>
        <w:rPr>
          <w:rFonts w:ascii="Calibri" w:hAnsi="Calibri" w:cs="Calibri"/>
          <w:b/>
          <w:bCs/>
          <w:color w:val="4C94D8" w:themeColor="text2" w:themeTint="80"/>
          <w:sz w:val="28"/>
          <w:szCs w:val="28"/>
        </w:rPr>
      </w:pPr>
      <w:r w:rsidRPr="0086083E">
        <w:rPr>
          <w:rFonts w:ascii="Calibri" w:hAnsi="Calibri" w:cs="Calibri"/>
          <w:b/>
          <w:bCs/>
          <w:color w:val="4C94D8" w:themeColor="text2" w:themeTint="80"/>
          <w:sz w:val="28"/>
          <w:szCs w:val="28"/>
        </w:rPr>
        <w:t>Quemaduras Domésticas</w:t>
      </w:r>
    </w:p>
    <w:p w14:paraId="0196D4CA" w14:textId="371B08DB" w:rsidR="001733B7" w:rsidRPr="0086083E" w:rsidRDefault="001733B7" w:rsidP="0086083E">
      <w:p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Las quemaduras en la cocina o por contacto con aparatos calientes son muy frecuentes. La gravedad de una quemadura depende de su profundidad y extensión.</w:t>
      </w:r>
    </w:p>
    <w:p w14:paraId="2F8B4BBD" w14:textId="2118531A" w:rsidR="00974DB7" w:rsidRPr="0086083E" w:rsidRDefault="00974DB7" w:rsidP="0086083E">
      <w:pPr>
        <w:rPr>
          <w:rFonts w:ascii="Calibri" w:hAnsi="Calibri" w:cs="Calibri"/>
          <w:color w:val="4C94D8" w:themeColor="text2" w:themeTint="80"/>
          <w:sz w:val="24"/>
          <w:szCs w:val="24"/>
        </w:rPr>
      </w:pPr>
      <w:r w:rsidRPr="0086083E">
        <w:rPr>
          <w:rFonts w:ascii="Calibri" w:hAnsi="Calibri" w:cs="Calibri"/>
          <w:noProof/>
          <w:color w:val="4C94D8" w:themeColor="text2" w:themeTint="80"/>
          <w:sz w:val="24"/>
          <w:szCs w:val="24"/>
        </w:rPr>
        <w:drawing>
          <wp:inline distT="0" distB="0" distL="0" distR="0" wp14:anchorId="5A0746DF" wp14:editId="53321466">
            <wp:extent cx="3124383" cy="2082800"/>
            <wp:effectExtent l="0" t="0" r="0" b="0"/>
            <wp:docPr id="56324132" name="Imagen 2" descr="Persona enfriando una quemadura en la mano bajo el grifo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132" name="Imagen 2" descr="Persona enfriando una quemadura en la mano bajo el grifo de agu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3176" cy="2088661"/>
                    </a:xfrm>
                    <a:prstGeom prst="rect">
                      <a:avLst/>
                    </a:prstGeom>
                    <a:noFill/>
                    <a:ln>
                      <a:noFill/>
                    </a:ln>
                  </pic:spPr>
                </pic:pic>
              </a:graphicData>
            </a:graphic>
          </wp:inline>
        </w:drawing>
      </w:r>
    </w:p>
    <w:p w14:paraId="21818A7A" w14:textId="77777777" w:rsidR="001733B7" w:rsidRPr="0086083E" w:rsidRDefault="001733B7" w:rsidP="0086083E">
      <w:pPr>
        <w:rPr>
          <w:rFonts w:ascii="Calibri" w:hAnsi="Calibri" w:cs="Calibri"/>
          <w:color w:val="DAE9F7" w:themeColor="text2" w:themeTint="1A"/>
          <w:sz w:val="24"/>
          <w:szCs w:val="24"/>
        </w:rPr>
      </w:pPr>
      <w:r w:rsidRPr="0086083E">
        <w:rPr>
          <w:rFonts w:ascii="Calibri" w:hAnsi="Calibri" w:cs="Calibri"/>
          <w:color w:val="DAE9F7" w:themeColor="text2" w:themeTint="1A"/>
          <w:sz w:val="24"/>
          <w:szCs w:val="24"/>
        </w:rPr>
        <w:t xml:space="preserve">Lo que </w:t>
      </w:r>
      <w:r w:rsidRPr="0086083E">
        <w:rPr>
          <w:rFonts w:ascii="Calibri" w:hAnsi="Calibri" w:cs="Calibri"/>
          <w:b/>
          <w:bCs/>
          <w:color w:val="DAE9F7" w:themeColor="text2" w:themeTint="1A"/>
          <w:sz w:val="24"/>
          <w:szCs w:val="24"/>
        </w:rPr>
        <w:t>sí</w:t>
      </w:r>
      <w:r w:rsidRPr="0086083E">
        <w:rPr>
          <w:rFonts w:ascii="Calibri" w:hAnsi="Calibri" w:cs="Calibri"/>
          <w:color w:val="DAE9F7" w:themeColor="text2" w:themeTint="1A"/>
          <w:sz w:val="24"/>
          <w:szCs w:val="24"/>
        </w:rPr>
        <w:t xml:space="preserve"> debe hacer:</w:t>
      </w:r>
    </w:p>
    <w:p w14:paraId="01AA1FB6" w14:textId="77777777" w:rsidR="001733B7" w:rsidRPr="0086083E" w:rsidRDefault="001733B7" w:rsidP="0086083E">
      <w:pPr>
        <w:pStyle w:val="Prrafodelista"/>
        <w:numPr>
          <w:ilvl w:val="0"/>
          <w:numId w:val="11"/>
        </w:numPr>
        <w:rPr>
          <w:rFonts w:ascii="Calibri" w:hAnsi="Calibri" w:cs="Calibri"/>
          <w:color w:val="DAE9F7" w:themeColor="text2" w:themeTint="1A"/>
          <w:sz w:val="24"/>
          <w:szCs w:val="24"/>
        </w:rPr>
      </w:pPr>
      <w:r w:rsidRPr="0086083E">
        <w:rPr>
          <w:rFonts w:ascii="Calibri" w:hAnsi="Calibri" w:cs="Calibri"/>
          <w:color w:val="DAE9F7" w:themeColor="text2" w:themeTint="1A"/>
          <w:sz w:val="24"/>
          <w:szCs w:val="24"/>
        </w:rPr>
        <w:t>Enfriar la zona inmediatamente con agua del grifo a temperatura ambiente (ni muy fría ni helada) durante 15 o 20 minutos.</w:t>
      </w:r>
    </w:p>
    <w:p w14:paraId="768F397B" w14:textId="77777777" w:rsidR="001733B7" w:rsidRPr="0086083E" w:rsidRDefault="001733B7" w:rsidP="0086083E">
      <w:pPr>
        <w:pStyle w:val="Prrafodelista"/>
        <w:numPr>
          <w:ilvl w:val="0"/>
          <w:numId w:val="11"/>
        </w:numPr>
        <w:rPr>
          <w:rFonts w:ascii="Calibri" w:hAnsi="Calibri" w:cs="Calibri"/>
          <w:color w:val="DAE9F7" w:themeColor="text2" w:themeTint="1A"/>
          <w:sz w:val="24"/>
          <w:szCs w:val="24"/>
        </w:rPr>
      </w:pPr>
      <w:r w:rsidRPr="0086083E">
        <w:rPr>
          <w:rFonts w:ascii="Calibri" w:hAnsi="Calibri" w:cs="Calibri"/>
          <w:color w:val="DAE9F7" w:themeColor="text2" w:themeTint="1A"/>
          <w:sz w:val="24"/>
          <w:szCs w:val="24"/>
        </w:rPr>
        <w:t>Cubrir la quemadura con una gasa limpia y húmeda.</w:t>
      </w:r>
    </w:p>
    <w:p w14:paraId="6F9D1A42" w14:textId="77777777" w:rsidR="001733B7" w:rsidRPr="0086083E" w:rsidRDefault="001733B7" w:rsidP="0086083E">
      <w:pPr>
        <w:pStyle w:val="Prrafodelista"/>
        <w:numPr>
          <w:ilvl w:val="0"/>
          <w:numId w:val="11"/>
        </w:numPr>
        <w:rPr>
          <w:rFonts w:ascii="Calibri" w:hAnsi="Calibri" w:cs="Calibri"/>
          <w:color w:val="DAE9F7" w:themeColor="text2" w:themeTint="1A"/>
          <w:sz w:val="24"/>
          <w:szCs w:val="24"/>
        </w:rPr>
      </w:pPr>
      <w:r w:rsidRPr="0086083E">
        <w:rPr>
          <w:rFonts w:ascii="Calibri" w:hAnsi="Calibri" w:cs="Calibri"/>
          <w:color w:val="DAE9F7" w:themeColor="text2" w:themeTint="1A"/>
          <w:sz w:val="24"/>
          <w:szCs w:val="24"/>
        </w:rPr>
        <w:t>Acudir al médico si salen ampollas o la quemadura es extensa.</w:t>
      </w:r>
    </w:p>
    <w:p w14:paraId="79053941" w14:textId="77777777" w:rsidR="001733B7" w:rsidRPr="0086083E" w:rsidRDefault="001733B7" w:rsidP="0086083E">
      <w:p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 xml:space="preserve">Lo que </w:t>
      </w:r>
      <w:r w:rsidRPr="0086083E">
        <w:rPr>
          <w:rFonts w:ascii="Calibri" w:hAnsi="Calibri" w:cs="Calibri"/>
          <w:b/>
          <w:bCs/>
          <w:color w:val="4C94D8" w:themeColor="text2" w:themeTint="80"/>
          <w:sz w:val="24"/>
          <w:szCs w:val="24"/>
        </w:rPr>
        <w:t>nunca</w:t>
      </w:r>
      <w:r w:rsidRPr="0086083E">
        <w:rPr>
          <w:rFonts w:ascii="Calibri" w:hAnsi="Calibri" w:cs="Calibri"/>
          <w:color w:val="4C94D8" w:themeColor="text2" w:themeTint="80"/>
          <w:sz w:val="24"/>
          <w:szCs w:val="24"/>
        </w:rPr>
        <w:t xml:space="preserve"> debe hacer:</w:t>
      </w:r>
    </w:p>
    <w:p w14:paraId="58726660" w14:textId="77777777" w:rsidR="001733B7" w:rsidRPr="0086083E" w:rsidRDefault="001733B7" w:rsidP="0086083E">
      <w:pPr>
        <w:pStyle w:val="Prrafodelista"/>
        <w:numPr>
          <w:ilvl w:val="0"/>
          <w:numId w:val="12"/>
        </w:num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No aplique hielo directo, ya que puede empeorar la lesión.</w:t>
      </w:r>
    </w:p>
    <w:p w14:paraId="37CE6324" w14:textId="77777777" w:rsidR="001733B7" w:rsidRPr="0086083E" w:rsidRDefault="001733B7" w:rsidP="0086083E">
      <w:pPr>
        <w:pStyle w:val="Prrafodelista"/>
        <w:numPr>
          <w:ilvl w:val="0"/>
          <w:numId w:val="12"/>
        </w:num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No rompa las ampollas, ya que aumenta el riesgo de infección.</w:t>
      </w:r>
    </w:p>
    <w:p w14:paraId="03BE35FF" w14:textId="77777777" w:rsidR="001733B7" w:rsidRPr="0086083E" w:rsidRDefault="001733B7" w:rsidP="0086083E">
      <w:pPr>
        <w:pStyle w:val="Prrafodelista"/>
        <w:numPr>
          <w:ilvl w:val="0"/>
          <w:numId w:val="12"/>
        </w:numPr>
        <w:rPr>
          <w:rFonts w:ascii="Calibri" w:hAnsi="Calibri" w:cs="Calibri"/>
          <w:color w:val="4C94D8" w:themeColor="text2" w:themeTint="80"/>
          <w:sz w:val="24"/>
          <w:szCs w:val="24"/>
        </w:rPr>
      </w:pPr>
      <w:r w:rsidRPr="0086083E">
        <w:rPr>
          <w:rFonts w:ascii="Calibri" w:hAnsi="Calibri" w:cs="Calibri"/>
          <w:color w:val="4C94D8" w:themeColor="text2" w:themeTint="80"/>
          <w:sz w:val="24"/>
          <w:szCs w:val="24"/>
        </w:rPr>
        <w:t>No aplique remedios caseros como pasta de dientes, aceite o mantequilla.</w:t>
      </w:r>
    </w:p>
    <w:p w14:paraId="332A29EA" w14:textId="4D11361C" w:rsidR="001733B7" w:rsidRPr="0086083E" w:rsidRDefault="001733B7" w:rsidP="0086083E">
      <w:pPr>
        <w:rPr>
          <w:rFonts w:ascii="Calibri" w:hAnsi="Calibri" w:cs="Calibri"/>
          <w:b/>
          <w:bCs/>
          <w:color w:val="C1E4F5" w:themeColor="accent1" w:themeTint="33"/>
          <w:sz w:val="32"/>
          <w:szCs w:val="32"/>
        </w:rPr>
      </w:pPr>
      <w:r w:rsidRPr="0086083E">
        <w:rPr>
          <w:rFonts w:ascii="Calibri" w:hAnsi="Calibri" w:cs="Calibri"/>
          <w:b/>
          <w:bCs/>
          <w:color w:val="C1E4F5" w:themeColor="accent1" w:themeTint="33"/>
          <w:sz w:val="32"/>
          <w:szCs w:val="32"/>
        </w:rPr>
        <w:t>Guía Rápida de Síntomas y Reacciones</w:t>
      </w:r>
    </w:p>
    <w:p w14:paraId="30536592" w14:textId="60051285" w:rsidR="001733B7" w:rsidRPr="0086083E" w:rsidRDefault="001733B7" w:rsidP="0086083E">
      <w:pPr>
        <w:rPr>
          <w:rFonts w:ascii="Calibri" w:hAnsi="Calibri" w:cs="Calibri"/>
          <w:color w:val="C1E4F5" w:themeColor="accent1" w:themeTint="33"/>
          <w:sz w:val="24"/>
          <w:szCs w:val="24"/>
        </w:rPr>
      </w:pPr>
      <w:r w:rsidRPr="0086083E">
        <w:rPr>
          <w:rFonts w:ascii="Calibri" w:hAnsi="Calibri" w:cs="Calibri"/>
          <w:color w:val="C1E4F5" w:themeColor="accent1" w:themeTint="33"/>
          <w:sz w:val="24"/>
          <w:szCs w:val="24"/>
        </w:rPr>
        <w:t>A continuación, se presenta una tabla de referencia rápida para identificar qué acciones tomar ante diferentes cuadros sintomáticos comunes en el hogar.</w:t>
      </w:r>
    </w:p>
    <w:tbl>
      <w:tblPr>
        <w:tblStyle w:val="Tablaconcuadrcula"/>
        <w:tblW w:w="0" w:type="auto"/>
        <w:tblLook w:val="0600" w:firstRow="0" w:lastRow="0" w:firstColumn="0" w:lastColumn="0" w:noHBand="1" w:noVBand="1"/>
      </w:tblPr>
      <w:tblGrid>
        <w:gridCol w:w="2831"/>
        <w:gridCol w:w="2831"/>
        <w:gridCol w:w="2832"/>
      </w:tblGrid>
      <w:tr w:rsidR="00F564E7" w:rsidRPr="0086083E" w14:paraId="56F989C1" w14:textId="77777777" w:rsidTr="0086083E">
        <w:tc>
          <w:tcPr>
            <w:tcW w:w="2831" w:type="dxa"/>
          </w:tcPr>
          <w:p w14:paraId="5E09C322" w14:textId="4D8241F3" w:rsidR="00F564E7" w:rsidRPr="0086083E" w:rsidRDefault="00F564E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SÍNTOMA</w:t>
            </w:r>
          </w:p>
        </w:tc>
        <w:tc>
          <w:tcPr>
            <w:tcW w:w="2831" w:type="dxa"/>
          </w:tcPr>
          <w:p w14:paraId="378FD122" w14:textId="79C28616" w:rsidR="00F564E7" w:rsidRPr="0086083E" w:rsidRDefault="00F564E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POSIBLE CAUSA</w:t>
            </w:r>
          </w:p>
        </w:tc>
        <w:tc>
          <w:tcPr>
            <w:tcW w:w="2832" w:type="dxa"/>
          </w:tcPr>
          <w:p w14:paraId="2356E0C4" w14:textId="64A5E531" w:rsidR="00F564E7" w:rsidRPr="0086083E" w:rsidRDefault="00F564E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ACCIÓN RECOMENDADA</w:t>
            </w:r>
          </w:p>
        </w:tc>
      </w:tr>
      <w:tr w:rsidR="00F564E7" w:rsidRPr="0086083E" w14:paraId="75620E66" w14:textId="77777777" w:rsidTr="0086083E">
        <w:tc>
          <w:tcPr>
            <w:tcW w:w="2831" w:type="dxa"/>
          </w:tcPr>
          <w:p w14:paraId="3E26A70D" w14:textId="3012FC87" w:rsidR="00F564E7" w:rsidRPr="0086083E" w:rsidRDefault="00C508C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Fiebre alta repentina</w:t>
            </w:r>
            <w:r w:rsidR="008D0E15" w:rsidRPr="0086083E">
              <w:rPr>
                <w:rFonts w:ascii="Calibri" w:hAnsi="Calibri" w:cs="Calibri"/>
                <w:color w:val="0A2F41" w:themeColor="accent1" w:themeShade="80"/>
                <w:sz w:val="24"/>
                <w:szCs w:val="24"/>
              </w:rPr>
              <w:t>.</w:t>
            </w:r>
          </w:p>
        </w:tc>
        <w:tc>
          <w:tcPr>
            <w:tcW w:w="2831" w:type="dxa"/>
          </w:tcPr>
          <w:p w14:paraId="6BE373D0" w14:textId="39C4057A" w:rsidR="00F564E7" w:rsidRPr="0086083E" w:rsidRDefault="00C508C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Infección vital o bacteriana</w:t>
            </w:r>
            <w:r w:rsidR="008D0E15" w:rsidRPr="0086083E">
              <w:rPr>
                <w:rFonts w:ascii="Calibri" w:hAnsi="Calibri" w:cs="Calibri"/>
                <w:color w:val="0A2F41" w:themeColor="accent1" w:themeShade="80"/>
                <w:sz w:val="24"/>
                <w:szCs w:val="24"/>
              </w:rPr>
              <w:t>.</w:t>
            </w:r>
          </w:p>
        </w:tc>
        <w:tc>
          <w:tcPr>
            <w:tcW w:w="2832" w:type="dxa"/>
          </w:tcPr>
          <w:p w14:paraId="0FDEE774" w14:textId="3E0C49C1" w:rsidR="00F564E7" w:rsidRPr="0086083E" w:rsidRDefault="00C508C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 xml:space="preserve">Tomar antitérmico, hidratarse y monitorizar. </w:t>
            </w:r>
            <w:r w:rsidRPr="0086083E">
              <w:rPr>
                <w:rFonts w:ascii="Calibri" w:hAnsi="Calibri" w:cs="Calibri"/>
                <w:color w:val="0A2F41" w:themeColor="accent1" w:themeShade="80"/>
                <w:sz w:val="24"/>
                <w:szCs w:val="24"/>
              </w:rPr>
              <w:lastRenderedPageBreak/>
              <w:t>Consultar al médico si no baja en 48h.</w:t>
            </w:r>
          </w:p>
        </w:tc>
      </w:tr>
      <w:tr w:rsidR="00F564E7" w:rsidRPr="0086083E" w14:paraId="367E015E" w14:textId="77777777" w:rsidTr="0086083E">
        <w:tc>
          <w:tcPr>
            <w:tcW w:w="2831" w:type="dxa"/>
          </w:tcPr>
          <w:p w14:paraId="4DCF6746" w14:textId="3A453B4D" w:rsidR="00F564E7" w:rsidRPr="0086083E" w:rsidRDefault="00C508C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lastRenderedPageBreak/>
              <w:t>Dolor en el pecho con presión.</w:t>
            </w:r>
          </w:p>
        </w:tc>
        <w:tc>
          <w:tcPr>
            <w:tcW w:w="2831" w:type="dxa"/>
          </w:tcPr>
          <w:p w14:paraId="28B9CAF6" w14:textId="5D91B470" w:rsidR="00F564E7" w:rsidRPr="0086083E" w:rsidRDefault="008D0E15"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Posible problema cardíaco.</w:t>
            </w:r>
          </w:p>
        </w:tc>
        <w:tc>
          <w:tcPr>
            <w:tcW w:w="2832" w:type="dxa"/>
          </w:tcPr>
          <w:p w14:paraId="07922CC0" w14:textId="77777777" w:rsidR="008D0E15" w:rsidRPr="0086083E" w:rsidRDefault="008D0E15"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Llamar inmediatamente a emergencias (112). No hacer esfuerzos.</w:t>
            </w:r>
          </w:p>
          <w:p w14:paraId="7AAC13BC" w14:textId="77777777" w:rsidR="00F564E7" w:rsidRPr="0086083E" w:rsidRDefault="00F564E7" w:rsidP="0086083E">
            <w:pPr>
              <w:rPr>
                <w:rFonts w:ascii="Calibri" w:hAnsi="Calibri" w:cs="Calibri"/>
                <w:color w:val="0A2F41" w:themeColor="accent1" w:themeShade="80"/>
                <w:sz w:val="24"/>
                <w:szCs w:val="24"/>
              </w:rPr>
            </w:pPr>
          </w:p>
        </w:tc>
      </w:tr>
      <w:tr w:rsidR="00F564E7" w:rsidRPr="0086083E" w14:paraId="465B731B" w14:textId="77777777" w:rsidTr="0086083E">
        <w:tc>
          <w:tcPr>
            <w:tcW w:w="2831" w:type="dxa"/>
          </w:tcPr>
          <w:p w14:paraId="1B07468C" w14:textId="26549D02" w:rsidR="00F564E7" w:rsidRPr="0086083E" w:rsidRDefault="008D0E15"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Mareo tras golpe en la cabeza.</w:t>
            </w:r>
          </w:p>
        </w:tc>
        <w:tc>
          <w:tcPr>
            <w:tcW w:w="2831" w:type="dxa"/>
          </w:tcPr>
          <w:p w14:paraId="012A22B5" w14:textId="2D4FC24F" w:rsidR="00F564E7" w:rsidRPr="0086083E" w:rsidRDefault="008D0E15"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Conmoción leve.</w:t>
            </w:r>
          </w:p>
        </w:tc>
        <w:tc>
          <w:tcPr>
            <w:tcW w:w="2832" w:type="dxa"/>
          </w:tcPr>
          <w:p w14:paraId="488235EC" w14:textId="37D3EC72" w:rsidR="00F564E7" w:rsidRPr="0086083E" w:rsidRDefault="008D0E15"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Reposo en un lugar tranquilo. Acudir a urgencias si hay vómitos o visión borrosa.</w:t>
            </w:r>
          </w:p>
        </w:tc>
      </w:tr>
    </w:tbl>
    <w:p w14:paraId="076F0F0C" w14:textId="77777777" w:rsidR="00F564E7" w:rsidRPr="0086083E" w:rsidRDefault="00F564E7" w:rsidP="0086083E">
      <w:pPr>
        <w:rPr>
          <w:rFonts w:ascii="Calibri" w:hAnsi="Calibri" w:cs="Calibri"/>
          <w:color w:val="0A2F41" w:themeColor="accent1" w:themeShade="80"/>
          <w:sz w:val="24"/>
          <w:szCs w:val="24"/>
        </w:rPr>
      </w:pPr>
    </w:p>
    <w:p w14:paraId="0A6C6C7B" w14:textId="2D245810" w:rsidR="001733B7" w:rsidRPr="0086083E" w:rsidRDefault="001733B7" w:rsidP="0086083E">
      <w:pPr>
        <w:rPr>
          <w:rFonts w:ascii="Calibri" w:hAnsi="Calibri" w:cs="Calibri"/>
          <w:b/>
          <w:bCs/>
          <w:color w:val="0A2F41" w:themeColor="accent1" w:themeShade="80"/>
          <w:sz w:val="32"/>
          <w:szCs w:val="32"/>
        </w:rPr>
      </w:pPr>
      <w:r w:rsidRPr="0086083E">
        <w:rPr>
          <w:rFonts w:ascii="Calibri" w:hAnsi="Calibri" w:cs="Calibri"/>
          <w:b/>
          <w:bCs/>
          <w:color w:val="0A2F41" w:themeColor="accent1" w:themeShade="80"/>
          <w:sz w:val="32"/>
          <w:szCs w:val="32"/>
        </w:rPr>
        <w:t>Teléfonos de Emergencia</w:t>
      </w:r>
    </w:p>
    <w:p w14:paraId="7C8A675F" w14:textId="76908A28" w:rsidR="001733B7" w:rsidRPr="0086083E" w:rsidRDefault="001733B7" w:rsidP="0086083E">
      <w:pPr>
        <w:rPr>
          <w:rFonts w:ascii="Calibri" w:hAnsi="Calibri" w:cs="Calibri"/>
          <w:color w:val="0A2F41" w:themeColor="accent1" w:themeShade="80"/>
          <w:sz w:val="24"/>
          <w:szCs w:val="24"/>
        </w:rPr>
      </w:pPr>
      <w:r w:rsidRPr="0086083E">
        <w:rPr>
          <w:rFonts w:ascii="Calibri" w:hAnsi="Calibri" w:cs="Calibri"/>
          <w:color w:val="0A2F41" w:themeColor="accent1" w:themeShade="80"/>
          <w:sz w:val="24"/>
          <w:szCs w:val="24"/>
        </w:rPr>
        <w:t>Guarde siempre estos números en un lugar visible (como la puerta de la nevera) o programados en su teléfono móvil:</w:t>
      </w:r>
    </w:p>
    <w:p w14:paraId="64ACACA8" w14:textId="77777777" w:rsidR="001733B7" w:rsidRPr="0086083E" w:rsidRDefault="001733B7" w:rsidP="0086083E">
      <w:pPr>
        <w:rPr>
          <w:rFonts w:ascii="Calibri" w:hAnsi="Calibri" w:cs="Calibri"/>
          <w:color w:val="0A2F41" w:themeColor="accent1" w:themeShade="80"/>
          <w:sz w:val="24"/>
          <w:szCs w:val="24"/>
        </w:rPr>
      </w:pPr>
      <w:r w:rsidRPr="0086083E">
        <w:rPr>
          <w:rFonts w:ascii="Calibri" w:hAnsi="Calibri" w:cs="Calibri"/>
          <w:b/>
          <w:bCs/>
          <w:color w:val="0A2F41" w:themeColor="accent1" w:themeShade="80"/>
          <w:sz w:val="24"/>
          <w:szCs w:val="24"/>
        </w:rPr>
        <w:t>Emergencias (Válido en toda la UE):</w:t>
      </w:r>
      <w:r w:rsidRPr="0086083E">
        <w:rPr>
          <w:rFonts w:ascii="Calibri" w:hAnsi="Calibri" w:cs="Calibri"/>
          <w:color w:val="0A2F41" w:themeColor="accent1" w:themeShade="80"/>
          <w:sz w:val="24"/>
          <w:szCs w:val="24"/>
        </w:rPr>
        <w:t xml:space="preserve"> 112</w:t>
      </w:r>
    </w:p>
    <w:p w14:paraId="4F68A0B1" w14:textId="77777777" w:rsidR="001733B7" w:rsidRPr="0086083E" w:rsidRDefault="001733B7" w:rsidP="0086083E">
      <w:pPr>
        <w:rPr>
          <w:rFonts w:ascii="Calibri" w:hAnsi="Calibri" w:cs="Calibri"/>
          <w:color w:val="0A2F41" w:themeColor="accent1" w:themeShade="80"/>
          <w:sz w:val="24"/>
          <w:szCs w:val="24"/>
        </w:rPr>
      </w:pPr>
      <w:r w:rsidRPr="0086083E">
        <w:rPr>
          <w:rFonts w:ascii="Calibri" w:hAnsi="Calibri" w:cs="Calibri"/>
          <w:b/>
          <w:bCs/>
          <w:color w:val="0A2F41" w:themeColor="accent1" w:themeShade="80"/>
          <w:sz w:val="24"/>
          <w:szCs w:val="24"/>
        </w:rPr>
        <w:t>Urgencias Médicas:</w:t>
      </w:r>
      <w:r w:rsidRPr="0086083E">
        <w:rPr>
          <w:rFonts w:ascii="Calibri" w:hAnsi="Calibri" w:cs="Calibri"/>
          <w:color w:val="0A2F41" w:themeColor="accent1" w:themeShade="80"/>
          <w:sz w:val="24"/>
          <w:szCs w:val="24"/>
        </w:rPr>
        <w:t xml:space="preserve"> 061</w:t>
      </w:r>
    </w:p>
    <w:p w14:paraId="7BE98335" w14:textId="77777777" w:rsidR="001733B7" w:rsidRPr="0086083E" w:rsidRDefault="001733B7" w:rsidP="0086083E">
      <w:pPr>
        <w:rPr>
          <w:rFonts w:ascii="Calibri" w:hAnsi="Calibri" w:cs="Calibri"/>
          <w:color w:val="0A2F41" w:themeColor="accent1" w:themeShade="80"/>
          <w:sz w:val="24"/>
          <w:szCs w:val="24"/>
        </w:rPr>
      </w:pPr>
      <w:r w:rsidRPr="0086083E">
        <w:rPr>
          <w:rFonts w:ascii="Calibri" w:hAnsi="Calibri" w:cs="Calibri"/>
          <w:b/>
          <w:bCs/>
          <w:color w:val="0A2F41" w:themeColor="accent1" w:themeShade="80"/>
          <w:sz w:val="24"/>
          <w:szCs w:val="24"/>
        </w:rPr>
        <w:t>Instituto Nacional de Toxicología:</w:t>
      </w:r>
      <w:r w:rsidRPr="0086083E">
        <w:rPr>
          <w:rFonts w:ascii="Calibri" w:hAnsi="Calibri" w:cs="Calibri"/>
          <w:color w:val="0A2F41" w:themeColor="accent1" w:themeShade="80"/>
          <w:sz w:val="24"/>
          <w:szCs w:val="24"/>
        </w:rPr>
        <w:t xml:space="preserve"> 91 562 04 20</w:t>
      </w:r>
    </w:p>
    <w:p w14:paraId="63C8F2BD" w14:textId="77777777" w:rsidR="00B0062A" w:rsidRPr="0086083E" w:rsidRDefault="00B0062A" w:rsidP="0086083E">
      <w:pPr>
        <w:rPr>
          <w:rFonts w:ascii="Calibri" w:hAnsi="Calibri" w:cs="Calibri"/>
          <w:sz w:val="24"/>
          <w:szCs w:val="24"/>
        </w:rPr>
      </w:pPr>
    </w:p>
    <w:sectPr w:rsidR="00B0062A" w:rsidRPr="008608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894"/>
    <w:multiLevelType w:val="multilevel"/>
    <w:tmpl w:val="696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13BA"/>
    <w:multiLevelType w:val="multilevel"/>
    <w:tmpl w:val="F32C68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1898"/>
    <w:multiLevelType w:val="multilevel"/>
    <w:tmpl w:val="851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037C7"/>
    <w:multiLevelType w:val="multilevel"/>
    <w:tmpl w:val="3C6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5B4E"/>
    <w:multiLevelType w:val="multilevel"/>
    <w:tmpl w:val="2B8E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41B63"/>
    <w:multiLevelType w:val="multilevel"/>
    <w:tmpl w:val="84983C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357DC"/>
    <w:multiLevelType w:val="multilevel"/>
    <w:tmpl w:val="C44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C0C37"/>
    <w:multiLevelType w:val="hybridMultilevel"/>
    <w:tmpl w:val="85045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F054F0"/>
    <w:multiLevelType w:val="hybridMultilevel"/>
    <w:tmpl w:val="89F27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2C4006"/>
    <w:multiLevelType w:val="hybridMultilevel"/>
    <w:tmpl w:val="AF9EDB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919752D"/>
    <w:multiLevelType w:val="multilevel"/>
    <w:tmpl w:val="C06CAA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10DF3"/>
    <w:multiLevelType w:val="multilevel"/>
    <w:tmpl w:val="AAD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28245">
    <w:abstractNumId w:val="4"/>
  </w:num>
  <w:num w:numId="2" w16cid:durableId="127285672">
    <w:abstractNumId w:val="0"/>
  </w:num>
  <w:num w:numId="3" w16cid:durableId="597300718">
    <w:abstractNumId w:val="3"/>
  </w:num>
  <w:num w:numId="4" w16cid:durableId="2112583178">
    <w:abstractNumId w:val="11"/>
  </w:num>
  <w:num w:numId="5" w16cid:durableId="2077627758">
    <w:abstractNumId w:val="2"/>
  </w:num>
  <w:num w:numId="6" w16cid:durableId="453450632">
    <w:abstractNumId w:val="6"/>
  </w:num>
  <w:num w:numId="7" w16cid:durableId="1769503039">
    <w:abstractNumId w:val="5"/>
  </w:num>
  <w:num w:numId="8" w16cid:durableId="22903138">
    <w:abstractNumId w:val="1"/>
  </w:num>
  <w:num w:numId="9" w16cid:durableId="163515998">
    <w:abstractNumId w:val="10"/>
  </w:num>
  <w:num w:numId="10" w16cid:durableId="975060441">
    <w:abstractNumId w:val="9"/>
  </w:num>
  <w:num w:numId="11" w16cid:durableId="222957314">
    <w:abstractNumId w:val="8"/>
  </w:num>
  <w:num w:numId="12" w16cid:durableId="1710915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F5"/>
    <w:rsid w:val="001235F5"/>
    <w:rsid w:val="001733B7"/>
    <w:rsid w:val="00305983"/>
    <w:rsid w:val="004C6F5A"/>
    <w:rsid w:val="00520C7B"/>
    <w:rsid w:val="006617E3"/>
    <w:rsid w:val="00757CB3"/>
    <w:rsid w:val="0086083E"/>
    <w:rsid w:val="008A5D5F"/>
    <w:rsid w:val="008D0E15"/>
    <w:rsid w:val="00974DB7"/>
    <w:rsid w:val="00A30C5B"/>
    <w:rsid w:val="00B0062A"/>
    <w:rsid w:val="00B9760B"/>
    <w:rsid w:val="00BC694D"/>
    <w:rsid w:val="00C508C7"/>
    <w:rsid w:val="00F564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C94D"/>
  <w15:chartTrackingRefBased/>
  <w15:docId w15:val="{8FFFEF7D-E594-49EB-9564-622BEB85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3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35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35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5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5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5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5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5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5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35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35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35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5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5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5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5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5F5"/>
    <w:rPr>
      <w:rFonts w:eastAsiaTheme="majorEastAsia" w:cstheme="majorBidi"/>
      <w:color w:val="272727" w:themeColor="text1" w:themeTint="D8"/>
    </w:rPr>
  </w:style>
  <w:style w:type="paragraph" w:styleId="Ttulo">
    <w:name w:val="Title"/>
    <w:basedOn w:val="Normal"/>
    <w:next w:val="Normal"/>
    <w:link w:val="TtuloCar"/>
    <w:uiPriority w:val="10"/>
    <w:qFormat/>
    <w:rsid w:val="0012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5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5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5F5"/>
    <w:pPr>
      <w:spacing w:before="160"/>
      <w:jc w:val="center"/>
    </w:pPr>
    <w:rPr>
      <w:i/>
      <w:iCs/>
      <w:color w:val="404040" w:themeColor="text1" w:themeTint="BF"/>
    </w:rPr>
  </w:style>
  <w:style w:type="character" w:customStyle="1" w:styleId="CitaCar">
    <w:name w:val="Cita Car"/>
    <w:basedOn w:val="Fuentedeprrafopredeter"/>
    <w:link w:val="Cita"/>
    <w:uiPriority w:val="29"/>
    <w:rsid w:val="001235F5"/>
    <w:rPr>
      <w:i/>
      <w:iCs/>
      <w:color w:val="404040" w:themeColor="text1" w:themeTint="BF"/>
    </w:rPr>
  </w:style>
  <w:style w:type="paragraph" w:styleId="Prrafodelista">
    <w:name w:val="List Paragraph"/>
    <w:basedOn w:val="Normal"/>
    <w:uiPriority w:val="34"/>
    <w:qFormat/>
    <w:rsid w:val="001235F5"/>
    <w:pPr>
      <w:ind w:left="720"/>
      <w:contextualSpacing/>
    </w:pPr>
  </w:style>
  <w:style w:type="character" w:styleId="nfasisintenso">
    <w:name w:val="Intense Emphasis"/>
    <w:basedOn w:val="Fuentedeprrafopredeter"/>
    <w:uiPriority w:val="21"/>
    <w:qFormat/>
    <w:rsid w:val="001235F5"/>
    <w:rPr>
      <w:i/>
      <w:iCs/>
      <w:color w:val="0F4761" w:themeColor="accent1" w:themeShade="BF"/>
    </w:rPr>
  </w:style>
  <w:style w:type="paragraph" w:styleId="Citadestacada">
    <w:name w:val="Intense Quote"/>
    <w:basedOn w:val="Normal"/>
    <w:next w:val="Normal"/>
    <w:link w:val="CitadestacadaCar"/>
    <w:uiPriority w:val="30"/>
    <w:qFormat/>
    <w:rsid w:val="0012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5F5"/>
    <w:rPr>
      <w:i/>
      <w:iCs/>
      <w:color w:val="0F4761" w:themeColor="accent1" w:themeShade="BF"/>
    </w:rPr>
  </w:style>
  <w:style w:type="character" w:styleId="Referenciaintensa">
    <w:name w:val="Intense Reference"/>
    <w:basedOn w:val="Fuentedeprrafopredeter"/>
    <w:uiPriority w:val="32"/>
    <w:qFormat/>
    <w:rsid w:val="001235F5"/>
    <w:rPr>
      <w:b/>
      <w:bCs/>
      <w:smallCaps/>
      <w:color w:val="0F4761" w:themeColor="accent1" w:themeShade="BF"/>
      <w:spacing w:val="5"/>
    </w:rPr>
  </w:style>
  <w:style w:type="table" w:styleId="Tablaconcuadrcula">
    <w:name w:val="Table Grid"/>
    <w:basedOn w:val="Tablanormal"/>
    <w:uiPriority w:val="39"/>
    <w:rsid w:val="00F5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757CB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f26a00-d05a-473c-82e9-1a31a41fef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40EB99B6D87CD45A2BFDA7BDED8AB9E" ma:contentTypeVersion="9" ma:contentTypeDescription="Crear nuevo documento." ma:contentTypeScope="" ma:versionID="a3ca849998e57e9e91e6da4e52649c7a">
  <xsd:schema xmlns:xsd="http://www.w3.org/2001/XMLSchema" xmlns:xs="http://www.w3.org/2001/XMLSchema" xmlns:p="http://schemas.microsoft.com/office/2006/metadata/properties" xmlns:ns3="38f26a00-d05a-473c-82e9-1a31a41fefd1" xmlns:ns4="95d660d5-d67c-4efc-a637-5445d20858c1" targetNamespace="http://schemas.microsoft.com/office/2006/metadata/properties" ma:root="true" ma:fieldsID="5af2093b0c28f2229eb1035743da8fbe" ns3:_="" ns4:_="">
    <xsd:import namespace="38f26a00-d05a-473c-82e9-1a31a41fefd1"/>
    <xsd:import namespace="95d660d5-d67c-4efc-a637-5445d20858c1"/>
    <xsd:element name="properties">
      <xsd:complexType>
        <xsd:sequence>
          <xsd:element name="documentManagement">
            <xsd:complexType>
              <xsd:all>
                <xsd:element ref="ns3:MediaServiceMetadata" minOccurs="0"/>
                <xsd:element ref="ns3:MediaServiceSearchProperties" minOccurs="0"/>
                <xsd:element ref="ns3:MediaServiceObjectDetectorVersions"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26a00-d05a-473c-82e9-1a31a41fe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FastMetadata" ma:index="11" nillable="true" ma:displayName="MediaServiceFastMetadata" ma:hidden="true" ma:internalName="MediaServiceFastMetadata"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d660d5-d67c-4efc-a637-5445d20858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2A282C-0638-47A2-9A64-8476FF52737B}">
  <ds:schemaRefs>
    <ds:schemaRef ds:uri="http://schemas.microsoft.com/office/2006/metadata/properties"/>
    <ds:schemaRef ds:uri="http://schemas.microsoft.com/office/infopath/2007/PartnerControls"/>
    <ds:schemaRef ds:uri="38f26a00-d05a-473c-82e9-1a31a41fefd1"/>
  </ds:schemaRefs>
</ds:datastoreItem>
</file>

<file path=customXml/itemProps2.xml><?xml version="1.0" encoding="utf-8"?>
<ds:datastoreItem xmlns:ds="http://schemas.openxmlformats.org/officeDocument/2006/customXml" ds:itemID="{ECDEFE35-D989-401A-9264-599583627364}">
  <ds:schemaRefs>
    <ds:schemaRef ds:uri="http://schemas.microsoft.com/sharepoint/v3/contenttype/forms"/>
  </ds:schemaRefs>
</ds:datastoreItem>
</file>

<file path=customXml/itemProps3.xml><?xml version="1.0" encoding="utf-8"?>
<ds:datastoreItem xmlns:ds="http://schemas.openxmlformats.org/officeDocument/2006/customXml" ds:itemID="{4FDA0728-0700-4238-B84D-EF3F0DA038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26a00-d05a-473c-82e9-1a31a41fefd1"/>
    <ds:schemaRef ds:uri="95d660d5-d67c-4efc-a637-5445d20858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524</Words>
  <Characters>2885</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Balbaneda Palau</dc:creator>
  <cp:keywords/>
  <dc:description/>
  <cp:lastModifiedBy>Ana Balbaneda Palau</cp:lastModifiedBy>
  <cp:revision>3</cp:revision>
  <dcterms:created xsi:type="dcterms:W3CDTF">2026-05-09T16:56:00Z</dcterms:created>
  <dcterms:modified xsi:type="dcterms:W3CDTF">2026-05-09T17:09:00Z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0x010100740EB99B6D87CD45A2BFDA7BDED8AB9E</vt:lpwstr>
  </property>
</Properties>
</file>