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IZVESTUVAWE ZA FINASISKI REZULTATI ZA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                 BADEL 1862 AD Skopje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  <w:t xml:space="preserve"> Godina na izvestuvwe                  2020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-Vkupen prihod                                              /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-Dobifka od redovno rabotewe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(pred odano~uvawe  )                                   /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-zaguba pred odano~uvawe                           /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-Dobifka za finansiska godina                          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-Zaguba za finansiska  godina             313035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-Pondeniran prose~en broj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na akcii                                                    30,000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-Osnovna zaguba po akcija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(denari po akcija)                                    -10.43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-Neto gotovinski tek                                   /                    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-Sopstveni~ka struktira: 100% BADEL 1862 a.d. Zagreb Hrvarska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-statusni izmeni: nema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--promena vo organite na upravuvawe nema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Iska`anite podatoci se identi~ni so revidiraniot finansiski izve{taj vo centralen registar.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</w:pPr>
      <w:r>
        <w:rPr>
          <w:rFonts w:ascii="MAC C Swiss" w:hAnsi="MAC C Swiss" w:cs="MAC C Swiss" w:eastAsia="MAC C Swiss"/>
          <w:color w:val="auto"/>
          <w:spacing w:val="0"/>
          <w:position w:val="0"/>
          <w:sz w:val="24"/>
          <w:shd w:fill="auto" w:val="clear"/>
        </w:rPr>
        <w:t xml:space="preserve">                                                               BADEL 1862 A.D. Skopje</w:t>
      </w: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MAC C Swiss" w:hAnsi="MAC C Swiss" w:cs="MAC C Swiss" w:eastAsia="MAC C Swiss"/>
          <w:i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