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0E6B6B"/>
          <w:sz w:val="24"/>
        </w:rPr>
        <w:t>BRAZ CUBAS</w:t>
      </w: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1B3A4B"/>
          <w:sz w:val="24"/>
        </w:rPr>
        <w:t>Disciplina de Modelagem de Banco de Dados</w:t>
      </w:r>
    </w:p>
    <w:p>
      <w:pPr>
        <w:spacing w:after="28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C6B73"/>
          <w:sz w:val="22"/>
        </w:rPr>
        <w:t>Semestre 2026/2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0E6B6B"/>
          <w:sz w:val="22"/>
        </w:rPr>
        <w:t>DOCUMENTO OFICIAL DE ORIENTAÇÃO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1B3A4B"/>
          <w:sz w:val="44"/>
        </w:rPr>
        <w:t>Projeto Tech Trivia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i/>
          <w:color w:val="0E6B6B"/>
          <w:sz w:val="26"/>
        </w:rPr>
        <w:t>Do minimundo ao banco consultável</w:t>
      </w:r>
    </w:p>
    <w:p>
      <w:pPr>
        <w:spacing w:after="280" w:before="0" w:line="276" w:lineRule="auto"/>
        <w:jc w:val="center"/>
      </w:pPr>
      <w:r>
        <w:rPr>
          <w:rFonts w:ascii="Calibri" w:hAnsi="Calibri" w:eastAsia="Calibri"/>
          <w:b w:val="0"/>
          <w:i w:val="0"/>
          <w:sz w:val="22"/>
        </w:rPr>
        <w:t>Material acadêmico dirigido aos grupos de projeto. Este texto fixa o objeto do trabalho, o caminho de modelagem, as regras de nome e de entrega, os requisitos que o banco precisa atender e o que a correção observa em cada marco.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Documento</w:t>
            </w:r>
          </w:p>
        </w:tc>
        <w:tc>
          <w:tcPr>
            <w:tcW w:type="dxa" w:w="680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Orientação oficial do projeto</w:t>
            </w:r>
          </w:p>
        </w:tc>
      </w:tr>
      <w:tr>
        <w:tc>
          <w:tcPr>
            <w:tcW w:type="dxa" w:w="255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Público</w:t>
            </w:r>
          </w:p>
        </w:tc>
        <w:tc>
          <w:tcPr>
            <w:tcW w:type="dxa" w:w="6803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Grupos da disciplina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Projeto</w:t>
            </w:r>
          </w:p>
        </w:tc>
        <w:tc>
          <w:tcPr>
            <w:tcW w:type="dxa" w:w="680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Tech Trivia</w:t>
            </w:r>
          </w:p>
        </w:tc>
      </w:tr>
      <w:tr>
        <w:tc>
          <w:tcPr>
            <w:tcW w:type="dxa" w:w="255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SGBD</w:t>
            </w:r>
          </w:p>
        </w:tc>
        <w:tc>
          <w:tcPr>
            <w:tcW w:type="dxa" w:w="6803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PostgreSQL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Vínculo</w:t>
            </w:r>
          </w:p>
        </w:tc>
        <w:tc>
          <w:tcPr>
            <w:tcW w:type="dxa" w:w="680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Mesma equipe de Aplicativos para Web</w:t>
            </w:r>
          </w:p>
        </w:tc>
      </w:tr>
      <w:tr>
        <w:tc>
          <w:tcPr>
            <w:tcW w:type="dxa" w:w="255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Marcos</w:t>
            </w:r>
          </w:p>
        </w:tc>
        <w:tc>
          <w:tcPr>
            <w:tcW w:type="dxa" w:w="6803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Prazo de 5 semanas. M1 (semana 2), M2 (semana 3), M3 (semana 4), M4 (semana 5)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Extensão</w:t>
            </w:r>
          </w:p>
        </w:tc>
        <w:tc>
          <w:tcPr>
            <w:tcW w:type="dxa" w:w="680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Opcional, até 1 ponto</w:t>
            </w:r>
          </w:p>
        </w:tc>
      </w:tr>
    </w:tbl>
    <w:p/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1. Finalidade desta orientação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 projeto pede que o grupo desenhe e implemente o banco do Tech Trivia, um quiz de afirmações em que o jogador lê uma frase e marca Certo ou Errado. O banco guarda perguntas, categorias, alternativas, explicações e fontes, e responde às consultas que o aplicativo de Web vai usar.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 construção é de cima para baixo. O grupo escreve o contexto e o minimundo, extrai requisitos, desenha o modelo conceitual, mapeia o modelo lógico, justifica o esquema pela normalização e só então escreve o SQL. A normalização não substitui o desenho: ela confirma que o desenho está correto ou aponta o que precisa mudar.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Cada entrega posterior precisa ser consequência da anterior. Entidade que não nasce de um requisito, coluna que não está no dicionário e consulta que não corresponde a um RA não entram na correção como trabalho concluído. O exemplo preenchido que acompanha os templates mostra o formato e a profundidade esperados. O texto, o diagrama e os scripts do grupo são produção própria e precisam ser coerentes entre 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0F0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A4B"/>
                <w:sz w:val="22"/>
              </w:rPr>
              <w:t>O que este documento é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É a orientação de método, de regras e de critérios. Os arquivos 00 a 06 da pasta de templates continuam sendo o lugar em que o grupo escreve a entrega. Copiem esses arquivos para a pasta entregas/ e preencham. Não substituam o preenchimento por um resumo deste documento.</w:t>
            </w:r>
          </w:p>
        </w:tc>
      </w:tr>
    </w:tbl>
    <w:p/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2. Objeto de aprendizagem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Ao final do projeto, o grupo demonstra que sabe: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descrever um minimundo do qual se extraem entidades, atributos e regras;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desenhar um DER na notação de Chen, com cardinalidade mínima e máxima nos dois lados de cada relacionamento;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mapear o conceitual para tabelas, chaves primárias e chaves estrangeiras, separando 1:N de N:N;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mostrar que o esquema está na primeira, na segunda e na terceira forma normal, com dependências funcionais escritas;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criar o esquema no PostgreSQL com as restrições do dicionário, carregar uma massa mínima e responder às consultas RA01–RA07.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3. Organização do grupo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 equipe é a mesma de Aplicativos para Web. A identificação é feita uma vez, no arquivo de entrega copiado do modelo 00-como-entregar.md, com equipe, integrantes, repositório e data.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 partir do modelo físico, os nomes de tabelas e de colunas passam a ser contrato com a disciplina de Web. O aplicativo consulta esses nomes. Qualquer mudança posterior entra no repositório e é comunicada ao outro grupo de trabalho. Nome combinado e não entregue, ou nome entregue e depois alterado em silêncio, quebra o contrato.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/>
          <w:i w:val="0"/>
          <w:sz w:val="22"/>
        </w:rPr>
        <w:t xml:space="preserve">Papel sugerido dentro do grupo. </w:t>
      </w:r>
      <w:r>
        <w:rPr>
          <w:rFonts w:ascii="Calibri" w:hAnsi="Calibri" w:eastAsia="Calibri"/>
          <w:b w:val="0"/>
          <w:i w:val="0"/>
          <w:sz w:val="22"/>
        </w:rPr>
        <w:t>Uma pessoa redige o minimundo e os requisitos; outra desenha o conceitual e confere cardinalidade; outra mapeia o lógico e a normalização; outra escreve e executa os scripts. Todos leem o conjunto antes de cada marco. A correção trata a pasta como produção única da equipe.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4. Regras que valem em todos os passos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Regra</w:t>
            </w:r>
          </w:p>
        </w:tc>
        <w:tc>
          <w:tcPr>
            <w:tcW w:type="dxa" w:w="6973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o grupo faz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SGBD</w:t>
            </w:r>
          </w:p>
        </w:tc>
        <w:tc>
          <w:tcPr>
            <w:tcW w:type="dxa" w:w="697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PostgreSQL. A justificativa da escolha cabe em uma frase no cabeçalho do modelo físico.</w:t>
            </w:r>
          </w:p>
        </w:tc>
      </w:tr>
      <w:tr>
        <w:tc>
          <w:tcPr>
            <w:tcW w:type="dxa" w:w="238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Nomes</w:t>
            </w:r>
          </w:p>
        </w:tc>
        <w:tc>
          <w:tcPr>
            <w:tcW w:type="dxa" w:w="6973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Português, minúsculos, sem acento, no singular. Exemplo: pergunta, id_pergunta, id_categoria.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Chave primária</w:t>
            </w:r>
          </w:p>
        </w:tc>
        <w:tc>
          <w:tcPr>
            <w:tcW w:type="dxa" w:w="697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Padrão id_&lt;tabela&gt;, salvo identificador natural já estável, como o código da pergunta ou o código do idioma, quando o dicionário justificar.</w:t>
            </w:r>
          </w:p>
        </w:tc>
      </w:tr>
      <w:tr>
        <w:tc>
          <w:tcPr>
            <w:tcW w:type="dxa" w:w="238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Modelo conceitual</w:t>
            </w:r>
          </w:p>
        </w:tc>
        <w:tc>
          <w:tcPr>
            <w:tcW w:type="dxa" w:w="6973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DER na notação de Chen, em PDF ou imagem, no brModelo ou no Visual Paradigm Online.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Modelo lógico</w:t>
            </w:r>
          </w:p>
        </w:tc>
        <w:tc>
          <w:tcPr>
            <w:tcW w:type="dxa" w:w="697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Outro desenho, com tabelas, colunas, PK e FK. Não é um segundo DER. brModelo (modelo lógico) ou Visual Paradigm Online.</w:t>
            </w:r>
          </w:p>
        </w:tc>
      </w:tr>
      <w:tr>
        <w:tc>
          <w:tcPr>
            <w:tcW w:type="dxa" w:w="238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Scripts</w:t>
            </w:r>
          </w:p>
        </w:tc>
        <w:tc>
          <w:tcPr>
            <w:tcW w:type="dxa" w:w="6973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Rodam em sequência, do zero, em banco vazio, sem erro: 04-ddl.sql e, em seguida, 05-dml-consultas.sql.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Integridade</w:t>
            </w:r>
          </w:p>
        </w:tc>
        <w:tc>
          <w:tcPr>
            <w:tcW w:type="dxa" w:w="6973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PK, FK, NOT NULL, UNIQUE e CHECK ficam declarados no DDL, como no dicionário. Regra só escrita no relatório não protege o banco.</w:t>
            </w:r>
          </w:p>
        </w:tc>
      </w:tr>
      <w:tr>
        <w:tc>
          <w:tcPr>
            <w:tcW w:type="dxa" w:w="238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Contrato com Web</w:t>
            </w:r>
          </w:p>
        </w:tc>
        <w:tc>
          <w:tcPr>
            <w:tcW w:type="dxa" w:w="6973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Depois do físico, mudar nome exige registro no repositório e comunicação.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4.1 O que ainda não entra no modelo conceitual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No DER de Chen aparecem entidades, atributos, relacionamentos, identificadores e cardinalidades. Ainda não aparecem tabela, chave estrangeira, tipo de coluna nem tamanho. Tipo e tamanho nascem no modelo lógico e se confirmam no físico. Losango é relacionamento. Retângulo é entidade. Atributo identificador fica marcado como identificador.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4.2 O que o banco faz e o que fica de fora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 escopo é o cadastro e a consulta do quiz. O banco não guarda senha, sessão, pontuação nem ranking, e não cadastra usuário, salvo se a extensão opcional introduzir histórico de respostas e o grupo documentar essa decisão à parte. Não criem tabela de usuário se nenhum requisito do núcleo pedir cadastro, senha ou sessão.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5. Caminho do projeto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Oito passos, quatro marcos, prazo de 5 semanas. Cada marco organiza uma parte do trabalho. A entrega do projeto fecha na semana 5. A pasta que a correção lê é entregas/.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1247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Semana</w:t>
            </w:r>
          </w:p>
        </w:tc>
        <w:tc>
          <w:tcPr>
            <w:tcW w:type="dxa" w:w="136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Passos</w:t>
            </w:r>
          </w:p>
        </w:tc>
        <w:tc>
          <w:tcPr>
            <w:tcW w:type="dxa" w:w="5499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Arquivos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M1</w:t>
            </w:r>
          </w:p>
        </w:tc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 a 4</w:t>
            </w:r>
          </w:p>
        </w:tc>
        <w:tc>
          <w:tcPr>
            <w:tcW w:type="dxa" w:w="5499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01-contexto.md e 02-conceitual.pdf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M2</w:t>
            </w:r>
          </w:p>
        </w:tc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3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36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5 e 6</w:t>
            </w:r>
          </w:p>
        </w:tc>
        <w:tc>
          <w:tcPr>
            <w:tcW w:type="dxa" w:w="5499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03-logico.pdf e 03-logico.md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M3</w:t>
            </w:r>
          </w:p>
        </w:tc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4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7</w:t>
            </w:r>
          </w:p>
        </w:tc>
        <w:tc>
          <w:tcPr>
            <w:tcW w:type="dxa" w:w="5499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04-ddl.sql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M4</w:t>
            </w:r>
          </w:p>
        </w:tc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5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136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8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5499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05-dml-consultas.sql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spacing w:after="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Estrutura esperada: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 w:val="0"/>
          <w:sz w:val="20"/>
        </w:rPr>
        <w:t>entregas/</w:t>
        <w:br/>
        <w:t xml:space="preserve">  00-identificacao.md</w:t>
        <w:br/>
        <w:t xml:space="preserve">  01-contexto.md</w:t>
        <w:br/>
        <w:t xml:space="preserve">  02-conceitual.pdf</w:t>
        <w:br/>
        <w:t xml:space="preserve">  03-logico.pdf</w:t>
        <w:br/>
        <w:t xml:space="preserve">  03-logico.md</w:t>
        <w:br/>
        <w:t xml:space="preserve">  04-ddl.sql</w:t>
        <w:br/>
        <w:t xml:space="preserve">  05-dml-consultas.sql</w:t>
        <w:br/>
        <w:t xml:space="preserve">  08-extensao/          (somente se fizerem o bônus)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 diagrama conceitual pode ser PDF ou imagem. O lógico, da mesma forma. O nome estável do conceitual na pasta de entrega é 02-conceitual. O do lógico é 03-logico, acompanhado do texto 03-logico.md.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6. Passos 1 a 3 — Contexto, minimundo e requisitos (M1)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Arquivo: entregas/01-contexto.md, copiado do template 01-contexto.md.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6.1 Introdução e contexto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Em um parágrafo, digam o que é o Tech Trivia deste grupo e qual é o objetivo do banco. Em seguida, preencham duas tabelas. A primeira separa o que o banco faz do que ele não faz. A segunda nomeia quem usa os dados e o que cada um faz. Os usuários previstos no núcleo são o jogador e quem cadastra perguntas. O jogador lê a pergunta, escolhe Certo ou Errado e vê a explicação e a fonte. Quem cadastra inclui pergunta, categoria e fonte. Se esse cadastro for feito pelo script de carga, escrevam isso: a ausência de tela de cadastro não apaga o fato de que os dados entram no banco.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6.2 Minimundo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Um ou dois parágrafos, na voz de quem encomenda o sistema. É deste texto que saem as entidades e as regras. O parágrafo precisa cobrir, com frases que deem para citar depois: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pergunta, com código estável, título, enunciado e explicação;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categoria, e o fato de cada pergunta pertencer a uma só categoria;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fonte, com título, endereço e idioma, e a possibilidade de o mesmo endereço amparar mais de uma pergunta sem cadastrar a URL duas vezes;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publicador da fonte, com o mesmo nome gravado uma única vez;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idioma, como conjunto controlado, com código e descrição;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alternativas, hoje Certo e Errado, com uma correta por pergunta, e a possibilidade de haver mais de duas no futuro sem refazer a ficha da pergunta.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Escrevam fatos, não solução técnica. “Cada pergunta cita uma fonte” é minimundo. “Criaremos uma chave estrangeira id_fonte” é modelo lógico e fica para o passo 5.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6.3 Requisitos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Cada código de RD01 a RD11 e de RA01 a RA07 entra em uma linha, com o texto e o tipo. Não deixem código de fora. O tipo é funcional, não funcional ou regra de negócio. O não funcional inclui, no mínimo, o SGBD e a integridade: o que não pode duplicar e o que não pode ficar nulo.</w:t>
      </w:r>
    </w:p>
    <w:p>
      <w:pPr>
        <w:spacing w:after="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Requisitos de dados e regras que o modelo precisa sustentar: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406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Texto</w:t>
            </w:r>
          </w:p>
        </w:tc>
        <w:tc>
          <w:tcPr>
            <w:tcW w:type="dxa" w:w="170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RD01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Toda pergunta pertence a exatamente uma categoria. Não há duas categorias com o mesmo nome.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RD02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Toda pergunta cita exatamente uma fonte. A mesma fonte pode ser citada por várias perguntas. A URL é única.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RD03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Toda fonte tem exatamente um publicador. O nome do publicador é único.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RD04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Toda fonte tem um idioma de um conjunto controlado, com código e descrição.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RD05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As alternativas atuais são Certo e Errado, cada uma com rótulo e valor lógico.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RD06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Toda pergunta indica qual alternativa é a correta.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RD07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banco aceita, no futuro, mais de duas alternativas sem refazer a estrutura da pergunta.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RD08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identificador original da pergunta (fact-001, fact-002, …) é preservado.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RD09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Título, enunciado e explicação são obrigatórios. Enunciado e explicação podem ser longos.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RD10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Nome de categoria, nome de publicador e dados da fonte não se repetem em cada pergunta.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regra de negócio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RD11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As perguntas da carga entram sem perda de campo.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</w:tbl>
    <w:p/>
    <w:p>
      <w:pPr>
        <w:spacing w:after="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Consultas que o banco precisa responder. São os RA do aplicativo: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406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Texto</w:t>
            </w:r>
          </w:p>
        </w:tc>
        <w:tc>
          <w:tcPr>
            <w:tcW w:type="dxa" w:w="170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RA01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Listar as categorias em ordem alfabética, com a quantidade de perguntas.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RA02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Sortear uma pergunta de qualquer categoria ou de uma categoria escolhida.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RA03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Exibir título, enunciado e as alternativas.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RA04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Dizer se a alternativa escolhida é a correta.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RA05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Exibir a explicação e a fonte completa: título, publicador, URL e idioma.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RA06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Listar os publicadores mais citados, com o número de perguntas.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RA07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Listar as fontes citadas por mais de uma pergunta.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funcional</w:t>
            </w:r>
          </w:p>
        </w:tc>
      </w:tr>
    </w:tbl>
    <w:p/>
    <w:p>
      <w:pPr>
        <w:spacing w:after="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Requisitos não funcionais mínimos: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406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Texto</w:t>
            </w:r>
          </w:p>
        </w:tc>
        <w:tc>
          <w:tcPr>
            <w:tcW w:type="dxa" w:w="170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RNF01</w:t>
            </w:r>
          </w:p>
        </w:tc>
        <w:tc>
          <w:tcPr>
            <w:tcW w:type="dxa" w:w="6406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SGBD é PostgreSQL.</w:t>
            </w:r>
          </w:p>
        </w:tc>
        <w:tc>
          <w:tcPr>
            <w:tcW w:type="dxa" w:w="170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não funcional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RNF02</w:t>
            </w:r>
          </w:p>
        </w:tc>
        <w:tc>
          <w:tcPr>
            <w:tcW w:type="dxa" w:w="6406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Integridade: nome de categoria único, URL única, textos da pergunta obrigatórios, toda chave estrangeira do núcleo preenchida.</w:t>
            </w:r>
          </w:p>
        </w:tc>
        <w:tc>
          <w:tcPr>
            <w:tcW w:type="dxa" w:w="170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não funcional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0F0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A4B"/>
                <w:sz w:val="22"/>
              </w:rPr>
              <w:t>Como ler o RD07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Hoje a resposta é Certo ou Errado. O modelo não pode gravar essas duas opções como duas colunas fixas da pergunta, nem como um texto único, porque uma terceira alternativa no futuro obrigaria a alterar a ficha da pergunta. A alternativa é entidade ou domínio próprio. A pergunta aponta qual delas é a correta.</w:t>
            </w:r>
          </w:p>
        </w:tc>
      </w:tr>
    </w:tbl>
    <w:p/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7. Passo 4 — Modelo conceitual (M1)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 entrega é o desenho em entregas/02-conceitual.pdf (ou imagem) e as tabelas do template 02-modelo-conceitual.md. O diagrama e a tabela descrevem o mesmo modelo. Toda entidade do desenho está na tabela, e todo relacionamento da tabela está no desenho.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7.1 Entidades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Para cada entidade, listem os atributos e o identificador. Atributo é propriedade. Entidade é o que tem existência própria e do qual se quer guardar várias ocorrências, ou um domínio controlado que não deve ser copiado dentro de outra ficha. Pergunta, categoria, fonte e publicador nascem direto do minimundo. Idioma e alternativa nascem porque o conjunto é pequeno, controlado e reutilizado.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Perguntas que a tabela de entidades precisa responder: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Onde fica o código fact-001 (RD08)?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Onde ficam rótulo e valor lógico da alternativa (RD05)?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Onde a pergunta indica a alternativa correta (RD06)?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 que aconteceria se uma pergunta ganhasse uma terceira alternativa: a estrutura da pergunta permanece (RD07)?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Nome de categoria, nome de publicador e URL aparecem uma vez, fora da pergunta (RD10)?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7.2 Relacionamentos e cardinalidade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Uma frase por relacionamento, ligada a um requisito. A cardinalidade registra mínimo e máximo dos dois lados. Mínimo 1 significa obrigatório. Mínimo 0 significa que pode existir ocorrência sem o outro lado. Máximo 1 significa um só. Máximo N significa vários.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Leitura esperada a partir dos requisitos, para o grupo conferir o próprio desenho: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Categoria e pergunta: uma pergunta tem exatamente uma categoria; uma categoria reúne zero ou várias perguntas (RD01).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Pergunta e fonte: uma pergunta cita exatamente uma fonte; uma fonte ampara zero ou várias perguntas (RD02).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Publicador e fonte: uma fonte tem exatamente um publicador; um publicador publica zero ou várias fontes (RD03).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Idioma e fonte: uma fonte tem exatamente um idioma; um idioma qualifica zero ou várias fontes (RD04).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Pergunta e alternativa correta: uma pergunta indica exatamente uma alternativa; a mesma alternativa pode ser a correta de várias perguntas (RD05 e RD06).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Cardinalidade sem a frase não conta como justificada. A frase cita o requisito. Exemplo de forma, com conteúdo que o grupo reescreve a partir do próprio minimundo: “Cada pergunta cita exatamente uma fonte e a mesma URL pode aparecer em mais de uma pergunta, então o relacionamento é obrigatório do lado da pergunta e múltiplo do lado da fonte (RD02).”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0F0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B3A4B"/>
                <w:sz w:val="22"/>
              </w:rPr>
              <w:t>Erro frequente neste passo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Desenhar o conceitual já com tabelas, tipos VARCHAR e chaves estrangeiras. Isso antecipa o lógico e mistura as camadas. Outro erro frequente é anotar só o máximo (1 ou N) e omitir o mínimo. A correção lê os dois números.</w:t>
            </w:r>
          </w:p>
        </w:tc>
      </w:tr>
    </w:tbl>
    <w:p/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8. Passos 5 e 6 — Modelo lógico, normalização e dicionário (M2)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 entrega é o desenho em entregas/03-logico.pdf (ou imagem) e o texto em entregas/03-logico.md. O desenho parte do conceitual e mostra tabelas, colunas, chave primária e chaves estrangeiras. Se a normalização achar violação, corrijam o desenho e o texto. Os dois ficam iguais.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8.1 Mapeamento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Preencham, para cada relacionamento do DER: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cardinalidade já decidida no conceitual, agora lida como 1:N, N:N ou 1:1;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 que ela vira: chave estrangeira no lado N, ou tabela associativa;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 nome da coluna de FK ou o nome da tabela associativa.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Relacionamento N:N vira tabela associativa. Relacionamento 1:N vira chave estrangeira no lado N, que é o lado do máximo 1 no outro extremo: a pergunta guarda id_categoria, não a categoria guarda uma lista de perguntas. Se o recorte do grupo não tiver N:N, escrevam isso. Não inventem tabela associativa para forçar um N:N que os requisitos não pedem.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8.2 Normalização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Cada dependência funcional entra no formato determinante → dependente, com o requisito que a sustenta. Em seguida, uma linha para 1FN, uma para 2FN e uma para 3FN, dizendo por que o esquema atende e em qual tabela isso aparece.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Forma</w:t>
            </w:r>
          </w:p>
        </w:tc>
        <w:tc>
          <w:tcPr>
            <w:tcW w:type="dxa" w:w="7994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mostrar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1FN</w:t>
            </w:r>
          </w:p>
        </w:tc>
        <w:tc>
          <w:tcPr>
            <w:tcW w:type="dxa" w:w="799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Valores atômicos. Grupo multivalorado separado. Certo e Errado não ficam numa lista dentro da pergunta.</w:t>
            </w:r>
          </w:p>
        </w:tc>
      </w:tr>
      <w:tr>
        <w:tc>
          <w:tcPr>
            <w:tcW w:type="dxa" w:w="136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2FN</w:t>
            </w:r>
          </w:p>
        </w:tc>
        <w:tc>
          <w:tcPr>
            <w:tcW w:type="dxa" w:w="7994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Não há dependência parcial de chave composta. Se nenhuma chave primária for composta, digam isso e concluam que não há parcial a eliminar.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3FN</w:t>
            </w:r>
          </w:p>
        </w:tc>
        <w:tc>
          <w:tcPr>
            <w:tcW w:type="dxa" w:w="799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Não há dependência transitiva. O que não é chave e determina outro atributo está em tabela própria. Nome de categoria, publicador, URL e idioma não moram na pergunta.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Se alguma forma falhar, o grupo escreve o que mudou no dicionário e atualiza o desenho. Entregar a frase “está na 3FN” sem a dependência e sem a tabela em que ela aparece fica incompleto.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8.3 Dicionário de dados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Repitam o bloco para cada tabela. Cada coluna tem tipo e tamanho, nulidade, restrição e uma descrição de uma linha. A restrição usa a linguagem do template: PK, FK apontando tabela.coluna, UNIQUE, CHECK ou DEFAULT. O dicionário é o contrato do DDL. Coluna que está no desenho e não está no dicionário, ou o inverso, é divergência.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Decisões de tipo que o dicionário precisa tornar visíveis: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título, enunciado e explicação da pergunta são NOT NULL; enunciado e explicação cabem em texto longo (RD09);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nome da categoria é UNIQUE; nome do publicador é UNIQUE; URL é UNIQUE (RD01, RD03, RD02);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 identificador original da pergunta cabe na chave ou em coluna UNIQUE, e o valor fact-001 permanece (RD08);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idioma tem código e descrição; alternativa tem rótulo e valor lógico (RD04, RD05);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toda FK do núcleo é NOT NULL, porque os mínimos do conceitual são 1.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9. Passo 7 — Modelo físico (M3)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Arquivo: entregas/04-ddl.sql. Cabeçalho obrigatório, nesta ordem de ideias: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nome da equipe;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uma frase justificando o PostgreSQL;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a declaração de que os nomes abaixo são o contrato com Aplicativos para Web;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como criar o banco vazio e rodar o script.</w:t>
      </w:r>
    </w:p>
    <w:p>
      <w:pPr>
        <w:spacing w:after="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Comando de referência, em banco local: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 w:val="0"/>
          <w:sz w:val="20"/>
        </w:rPr>
        <w:t>createdb tech_trivia</w:t>
        <w:br/>
        <w:t>psql -d tech_trivia -v ON_ERROR_STOP=1 -f 04-ddl.sql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 script abre uma transação, cria as tabelas na ordem em que as chaves estrangeiras permitem e grava o domínio fixo: idiomas e as alternativas Certo e Errado. Categorias, publicadores, fontes e perguntas ficam para o passo 8. PK, FK, NOT NULL, UNIQUE e CHECK são declarados aqui, com os mesmos nomes do dicionário.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Nomes em português, minúsculos, sem acento, no singular. Chave primária no padrão id_&lt;tabela&gt;, salvo a exceção já justificada no dicionário. O script tem de terminar sem erro em banco vazio. ON_ERROR_STOP interrompe na primeira falha: é assim que o grupo confere antes de entregar.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10. Passo 8 — Carga e consultas (M4)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10.1 Carga mínima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Arquivo: entregas/05-dml-consultas.sql, executado depois do DDL. A massa entra nesta ordem: categoria, publicador, fonte, pergunta. Não insiram de novo categoria, publicador ou URL já gravados. O mínimo que o template exige: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6 perguntas, com identificadores fact-001, fact-002 e assim por diante;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2 categorias, uma delas com pelo menos 2 perguntas;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2 publicadores, um deles com pelo menos 2 fontes;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1 URL citada por 2 perguntas;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uma pergunta cuja correta é Certo e outra cuja correta é Errado.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Se o minimundo do grupo prometer um conjunto maior, a carga cumpre o que o minimundo prometeu e, ao mesmo tempo, cobre esse mínimo. Campo do minimundo que não entra na linha é perda, e o RD11 deixa de ser atendido.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i w:val="0"/>
          <w:color w:val="0E6B6B"/>
          <w:sz w:val="26"/>
        </w:rPr>
        <w:t>10.2 Consultas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Cada RA01 a RA07 vira comando SQL no mesmo arquivo, com o resultado colado em comentário. Troquem os nomes de tabela e de coluna pelos do dicionário do grupo. Consulta que usa nome que o DDL não criou não roda.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7994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a consulta precisa mostrar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RA01</w:t>
            </w:r>
          </w:p>
        </w:tc>
        <w:tc>
          <w:tcPr>
            <w:tcW w:type="dxa" w:w="799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Categorias em ordem alfabética e a quantidade de perguntas de cada uma.</w:t>
            </w:r>
          </w:p>
        </w:tc>
      </w:tr>
      <w:tr>
        <w:tc>
          <w:tcPr>
            <w:tcW w:type="dxa" w:w="136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RA02a</w:t>
            </w:r>
          </w:p>
        </w:tc>
        <w:tc>
          <w:tcPr>
            <w:tcW w:type="dxa" w:w="7994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Uma pergunta aleatória, de qualquer categoria, com o id sorteado registrado no comentário.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RA02b</w:t>
            </w:r>
          </w:p>
        </w:tc>
        <w:tc>
          <w:tcPr>
            <w:tcW w:type="dxa" w:w="799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Uma pergunta aleatória de uma categoria recebida por parâmetro.</w:t>
            </w:r>
          </w:p>
        </w:tc>
      </w:tr>
      <w:tr>
        <w:tc>
          <w:tcPr>
            <w:tcW w:type="dxa" w:w="136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RA03</w:t>
            </w:r>
          </w:p>
        </w:tc>
        <w:tc>
          <w:tcPr>
            <w:tcW w:type="dxa" w:w="7994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Título, enunciado e alternativas de uma pergunta.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RA04</w:t>
            </w:r>
          </w:p>
        </w:tc>
        <w:tc>
          <w:tcPr>
            <w:tcW w:type="dxa" w:w="799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Dada a pergunta e a alternativa escolhida, se acertou. Provem com a alternativa correta e com a errada.</w:t>
            </w:r>
          </w:p>
        </w:tc>
      </w:tr>
      <w:tr>
        <w:tc>
          <w:tcPr>
            <w:tcW w:type="dxa" w:w="136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RA05</w:t>
            </w:r>
          </w:p>
        </w:tc>
        <w:tc>
          <w:tcPr>
            <w:tcW w:type="dxa" w:w="7994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Explicação e fonte: título, publicador, URL e idioma.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RA06</w:t>
            </w:r>
          </w:p>
        </w:tc>
        <w:tc>
          <w:tcPr>
            <w:tcW w:type="dxa" w:w="799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Publicadores mais citados, com o número de perguntas.</w:t>
            </w:r>
          </w:p>
        </w:tc>
      </w:tr>
      <w:tr>
        <w:tc>
          <w:tcPr>
            <w:tcW w:type="dxa" w:w="1361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RA07</w:t>
            </w:r>
          </w:p>
        </w:tc>
        <w:tc>
          <w:tcPr>
            <w:tcW w:type="dxa" w:w="7994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Fontes citadas por mais de uma pergunta.</w:t>
            </w:r>
          </w:p>
        </w:tc>
      </w:tr>
    </w:tbl>
    <w:p/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Ordem alfabética pede ORDER BY. Contagem por grupo pede agregação com GROUP BY. Sorteio pede um critério aleatório e limite de uma linha. “Acertou” compara a alternativa escolhida com a alternativa correta gravada, e os dois casos (acerto e erro) aparecem no comentário de resultado. Publicador mais citado e fonte repetida atravessam pergunta, fonte e publicador: são junções, não leitura de uma tabela só.</w:t>
      </w:r>
    </w:p>
    <w:p>
      <w:pPr>
        <w:spacing w:after="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Ordem de execução, sempre do zero quando forem conferir o pacote inteiro: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 w:val="0"/>
          <w:sz w:val="20"/>
        </w:rPr>
        <w:t>psql -d tech_trivia -v ON_ERROR_STOP=1 -f 04-ddl.sql</w:t>
        <w:br/>
        <w:t>psql -d tech_trivia -v ON_ERROR_STOP=1 -f 05-dml-consultas.sql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11. Extensão opcional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 extensão continua opcional e vale até 1 ponto, somado à nota do núcleo. Se fizerem, criem a pasta entregas/08-extensao/ com três peças que falem da mesma mudança: um recorte de DER com as cardinalidades novas, um DDL complementar e pelo menos uma consulta que só faz sentido com a extensão.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Condições para o ponto ser considerado: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uma extensão só, inteira;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ela acrescenta fato que os RD01 a RD11 ainda não guardam;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 script complementar roda depois do 04-ddl.sql e não recria tabela já entregue;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DER, DDL e consulta descrevem a mesma decisão;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o efeito no contrato com Web está escrito: o que mudou de nome ou de tabela, e quando a outra disciplina foi avisada.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Caminhos coerentes com o enunciado: histórico de respostas (quem respondeu, qual pergunta, qual alternativa, em que momento); alternativas próprias de cada pergunta, se o núcleo ainda não as modelou dessa forma; ou auditoria de fonte (quando a URL foi verificada pela última vez, e como se representa uma fonte nunca verificada). Usar como bônus uma decisão que o RD07 já tornou obrigatória não acrescenta o ponto.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12. O que a correção observa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 correção lê a cadeia, não o arquivo isolado. Um marco bom não compensa o seguinte se os dois se contradizem.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47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8107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Fica completo quando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M1</w:t>
            </w:r>
          </w:p>
        </w:tc>
        <w:tc>
          <w:tcPr>
            <w:tcW w:type="dxa" w:w="810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minimundo cobre pergunta, categoria, fonte, publicador, idioma e alternativas. RD01–RD11 e RA01–RA07 estão na tabela, com tipo. O DER de Chen tem as mesmas entidades e os mesmos relacionamentos do texto, com mínimo e máximo e com requisito em cada frase.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M2</w:t>
            </w:r>
          </w:p>
        </w:tc>
        <w:tc>
          <w:tcPr>
            <w:tcW w:type="dxa" w:w="810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Cada relacionamento do DER virou FK ou tabela associativa no lugar certo. As dependências estão escritas. 1FN, 2FN e 3FN apontam a tabela. O dicionário repete o desenho, com nulo e restrição.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M3</w:t>
            </w:r>
          </w:p>
        </w:tc>
        <w:tc>
          <w:tcPr>
            <w:tcW w:type="dxa" w:w="8107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04-ddl.sql cria o banco vazio sem erro. Domínio fixo de idioma e de alternativa está inserido. Restrições do dicionário estão no CREATE. A frase do PostgreSQL e o contrato com Web estão no cabeçalho.</w:t>
            </w:r>
          </w:p>
        </w:tc>
      </w:tr>
      <w:tr>
        <w:tc>
          <w:tcPr>
            <w:tcW w:type="dxa" w:w="124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M4</w:t>
            </w:r>
          </w:p>
        </w:tc>
        <w:tc>
          <w:tcPr>
            <w:tcW w:type="dxa" w:w="8107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A carga cobre o mínimo e respeita unicidade. RA01–RA07 têm SQL e resultado colado.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spacing w:after="160" w:before="8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Situações que rebaixam a entrega, mesmo com diagrama bonito: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conceitual com tipo de coluna ou chave estrangeira;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cardinalidade só de um lado, ou só o máximo;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relacionamento sem requisito, ou requisito sem lugar no desenho;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nome de categoria, publicador ou URL repetido dentro da pergunta;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Certo e Errado como colunas fixas, impedindo o RD07;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código fact-001 descartado ou regenerado sem coluna que o preserve;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normalização afirmada sem dependência funcional;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DDL que não roda do zero, ou que diverge do dicionário;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consulta sem resultado colado no script;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mudança de nome depois do físico sem registro e sem aviso à disciplina de Web.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13. Conduta acadêmica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 exemplo preenchido é referência de forma: identificação, tabelas, dependências, dicionário, cabeçalho de script e comentário de resultado. Copiar o exemplo no lugar da análise do grupo produz uma cadeia que o grupo não consegue explicar. Na arguição ou na leitura cruzada, pergunta sobre cardinalidade, dependência ou mensagem de erro tem de ser respondida com o arquivo do próprio repositório.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Consulta de documentação do PostgreSQL, do brModelo e do Visual Paradigm é parte do trabalho. Ajuda de outra equipe que entregue trecho pronto de DDL ou de DER não é. Dúvida de interpretação deste documento é levada à aula, com o trecho do minimundo ou do script que travou.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14. Roteiro de trabalho do grupo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Sugestão de ordem interna, dentro do prazo de 5 semanas. A entrega do conjunto fecha na semana 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Quando</w:t>
            </w:r>
          </w:p>
        </w:tc>
        <w:tc>
          <w:tcPr>
            <w:tcW w:type="dxa" w:w="3742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grupo faz</w:t>
            </w:r>
          </w:p>
        </w:tc>
        <w:tc>
          <w:tcPr>
            <w:tcW w:type="dxa" w:w="3798"/>
            <w:shd w:fill="1B3A4B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Conferência antes de entregar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Até a semana 2</w:t>
            </w:r>
          </w:p>
        </w:tc>
        <w:tc>
          <w:tcPr>
            <w:tcW w:type="dxa" w:w="374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Escreve contexto, minimundo e a tabela de requisitos. Desenha o Chen e preenche entidades e relacionamentos.</w:t>
            </w:r>
          </w:p>
        </w:tc>
        <w:tc>
          <w:tcPr>
            <w:tcW w:type="dxa" w:w="3798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Todo RD tem frase no minimundo ou na regra. Todo losango tem linha na tabela. Nenhum tipo SQL aparece no DER.</w:t>
            </w:r>
          </w:p>
        </w:tc>
      </w:tr>
      <w:tr>
        <w:tc>
          <w:tcPr>
            <w:tcW w:type="dxa" w:w="1814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Até a semana 3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742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Mapeia cada relacionamento. Escreve dependências, 1FN–3FN e o dicionário. Ajusta o desenho se a 3FN pedir tabela nova.</w:t>
            </w:r>
          </w:p>
        </w:tc>
        <w:tc>
          <w:tcPr>
            <w:tcW w:type="dxa" w:w="3798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Desenho lógico, tabela de mapeamento e dicionário citam as mesmas colunas.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Até a semana 4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74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Traduz o dicionário em CREATE e insere idioma e alternativa. Roda em banco vazio.</w:t>
            </w:r>
          </w:p>
        </w:tc>
        <w:tc>
          <w:tcPr>
            <w:tcW w:type="dxa" w:w="3798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script para em COMMIT. Repetir a execução em banco já criado só depois de apagar e criar de novo.</w:t>
            </w:r>
          </w:p>
        </w:tc>
      </w:tr>
      <w:tr>
        <w:tc>
          <w:tcPr>
            <w:tcW w:type="dxa" w:w="1814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Até a semana 5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742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Carrega a massa e escreve RA01–RA07 com o resultado colado. Entrega o conjunto do projeto.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798"/>
            <w:shd w:fill="F4F7F8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vAlign w:val="center"/>
          </w:tcPr>
          <w:p>
            <w:pPr>
              <w:spacing w:before="40" w:after="40"/>
              <w:jc w:val="left"/>
            </w:pPr>
            <w:r>
              <w:t>A carga respeita categoria, publicador e URL já gravados. Cada RA tem SQL e resultado.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15. Lista de verificação final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00-identificacao.md com equipe, integrantes, repositório e data.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01-contexto.md com escopo, usuários, minimundo e todos os códigos RD, RA e RNF.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02-conceitual em PDF ou imagem, notação de Chen, mais a tabela de entidades e de relacionamentos.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03-logico em PDF ou imagem, mais 03-logico.md com mapeamento, normalização e dicionário.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04-ddl.sql executável em banco vazio, com domínio fixo.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05-dml-consultas.sql com a massa mínima e RA01 a RA07, cada um com resultado.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Nomes iguais do dicionário ao último script.</w:t>
      </w:r>
    </w:p>
    <w:p>
      <w:pPr>
        <w:spacing w:after="60" w:before="0" w:line="264" w:lineRule="auto"/>
        <w:ind w:left="567" w:hanging="227"/>
      </w:pPr>
      <w:r>
        <w:rPr>
          <w:rFonts w:ascii="Calibri" w:hAnsi="Calibri" w:eastAsia="Calibri"/>
          <w:b w:val="0"/>
          <w:i w:val="0"/>
          <w:sz w:val="22"/>
        </w:rPr>
        <w:t>•  Se houver bônus: pasta 08-extensao/ com DER, DDL complementar e uma consulta.</w:t>
      </w:r>
    </w:p>
    <w:p>
      <w:pPr>
        <w:keepNext/>
        <w:spacing w:before="320" w:after="120"/>
        <w:pBdr>
          <w:bottom w:val="single" w:sz="12" w:space="1" w:color="0E6B6B"/>
        </w:pBdr>
      </w:pPr>
      <w:r>
        <w:rPr>
          <w:rFonts w:ascii="Calibri" w:hAnsi="Calibri" w:eastAsia="Calibri"/>
          <w:b/>
          <w:i w:val="0"/>
          <w:color w:val="1B3A4B"/>
          <w:sz w:val="32"/>
        </w:rPr>
        <w:t>16. Fecho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O Tech Trivia está pronto, para esta disciplina, quando um banco vazio recebe o DDL, recebe a carga e responde às sete consultas. O desenho que leva a esse banco sai do minimundo, passa pelo Chen, pelo lógico e pela terceira forma normal, e permanece com os nomes combinados com Aplicativos para Web.</w:t>
      </w:r>
    </w:p>
    <w:p>
      <w:pPr>
        <w:spacing w:after="28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Dúvida sobre regra deste documento é resolvida pelo texto do marco correspondente. Em caso de conflito entre um rascunho antigo e esta orientação, vale esta orientação: construção de cima para baixo, quatro marcos, oito passos, prazo de entrega de 5 semanas, sem etapa de testes.</w:t>
      </w:r>
    </w:p>
    <w:p>
      <w:pPr>
        <w:spacing w:after="0" w:before="0" w:line="276" w:lineRule="auto"/>
        <w:jc w:val="center"/>
      </w:pPr>
      <w:r>
        <w:rPr>
          <w:rFonts w:ascii="Calibri" w:hAnsi="Calibri" w:eastAsia="Calibri"/>
          <w:b w:val="0"/>
          <w:i/>
          <w:color w:val="5C6B73"/>
          <w:sz w:val="18"/>
        </w:rPr>
        <w:t>Modelagem de Banco de Dados  ·  Braz Cubas  ·  2026/2</w:t>
      </w:r>
    </w:p>
    <w:p>
      <w:pPr>
        <w:spacing w:after="0" w:before="0" w:line="276" w:lineRule="auto"/>
        <w:jc w:val="center"/>
      </w:pPr>
      <w:r>
        <w:rPr>
          <w:rFonts w:ascii="Calibri" w:hAnsi="Calibri" w:eastAsia="Calibri"/>
          <w:b w:val="0"/>
          <w:i/>
          <w:color w:val="5C6B73"/>
          <w:sz w:val="18"/>
        </w:rPr>
        <w:t>Documento de orientação aos grupos. Não substitui a entrega na pasta do repositório.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C6B73"/>
        <w:sz w:val="16"/>
      </w:rPr>
      <w:t xml:space="preserve">Modelagem de Banco de Dados  ·  2026/2  ·  Orientação oficial do projeto Tech Trivia  ·  Página </w:t>
    </w:r>
    <w:r>
      <w:rPr>
        <w:rFonts w:ascii="Calibri" w:hAnsi="Calibri" w:eastAsia="Calibri"/>
        <w:b w:val="0"/>
        <w:i w:val="0"/>
        <w:color w:val="5C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