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C91A2" w14:textId="78246CCB" w:rsidR="00F3084A" w:rsidRDefault="002417F8" w:rsidP="002417F8">
      <w:pPr>
        <w:jc w:val="center"/>
        <w:rPr>
          <w:rFonts w:ascii="Arial Black" w:hAnsi="Arial Black"/>
          <w:sz w:val="36"/>
          <w:szCs w:val="28"/>
        </w:rPr>
      </w:pPr>
      <w:r>
        <w:rPr>
          <w:rFonts w:ascii="Arial Black" w:hAnsi="Arial Black"/>
          <w:sz w:val="36"/>
          <w:szCs w:val="28"/>
        </w:rPr>
        <w:t>RESUMEN ESQUEMA NACIONAL DE INTEROPERABILIDAD</w:t>
      </w:r>
    </w:p>
    <w:p w14:paraId="794D78CB" w14:textId="77777777" w:rsidR="00F662A5" w:rsidRDefault="00F662A5" w:rsidP="002417F8">
      <w:pPr>
        <w:jc w:val="center"/>
        <w:rPr>
          <w:rFonts w:ascii="Arial Black" w:hAnsi="Arial Black"/>
          <w:sz w:val="36"/>
          <w:szCs w:val="28"/>
        </w:rPr>
      </w:pPr>
    </w:p>
    <w:p w14:paraId="63A0CF70" w14:textId="703EFC82" w:rsidR="008A251D" w:rsidRDefault="00F662A5">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1527788" w:history="1">
        <w:r w:rsidR="008A251D" w:rsidRPr="009027CE">
          <w:rPr>
            <w:rStyle w:val="Hipervnculo"/>
            <w:noProof/>
            <w:highlight w:val="yellow"/>
          </w:rPr>
          <w:t>Marco legal y fundamentos del ENI</w:t>
        </w:r>
        <w:r w:rsidR="008A251D">
          <w:rPr>
            <w:noProof/>
            <w:webHidden/>
          </w:rPr>
          <w:tab/>
        </w:r>
        <w:r w:rsidR="008A251D">
          <w:rPr>
            <w:noProof/>
            <w:webHidden/>
          </w:rPr>
          <w:fldChar w:fldCharType="begin"/>
        </w:r>
        <w:r w:rsidR="008A251D">
          <w:rPr>
            <w:noProof/>
            <w:webHidden/>
          </w:rPr>
          <w:instrText xml:space="preserve"> PAGEREF _Toc221527788 \h </w:instrText>
        </w:r>
        <w:r w:rsidR="008A251D">
          <w:rPr>
            <w:noProof/>
            <w:webHidden/>
          </w:rPr>
        </w:r>
        <w:r w:rsidR="008A251D">
          <w:rPr>
            <w:noProof/>
            <w:webHidden/>
          </w:rPr>
          <w:fldChar w:fldCharType="separate"/>
        </w:r>
        <w:r w:rsidR="008A251D">
          <w:rPr>
            <w:noProof/>
            <w:webHidden/>
          </w:rPr>
          <w:t>1</w:t>
        </w:r>
        <w:r w:rsidR="008A251D">
          <w:rPr>
            <w:noProof/>
            <w:webHidden/>
          </w:rPr>
          <w:fldChar w:fldCharType="end"/>
        </w:r>
      </w:hyperlink>
    </w:p>
    <w:p w14:paraId="2B42F705" w14:textId="6A1F8193" w:rsidR="008A251D" w:rsidRDefault="008A251D">
      <w:pPr>
        <w:pStyle w:val="TDC2"/>
        <w:tabs>
          <w:tab w:val="right" w:leader="dot" w:pos="8494"/>
        </w:tabs>
        <w:rPr>
          <w:rFonts w:asciiTheme="minorHAnsi" w:eastAsiaTheme="minorEastAsia" w:hAnsiTheme="minorHAnsi"/>
          <w:noProof/>
          <w:sz w:val="24"/>
          <w:szCs w:val="24"/>
          <w:lang w:eastAsia="es-ES"/>
        </w:rPr>
      </w:pPr>
      <w:hyperlink w:anchor="_Toc221527789" w:history="1">
        <w:r w:rsidRPr="009027CE">
          <w:rPr>
            <w:rStyle w:val="Hipervnculo"/>
            <w:noProof/>
            <w:highlight w:val="yellow"/>
          </w:rPr>
          <w:t>Dimensiones de la Interoperabilidad</w:t>
        </w:r>
        <w:r>
          <w:rPr>
            <w:noProof/>
            <w:webHidden/>
          </w:rPr>
          <w:tab/>
        </w:r>
        <w:r>
          <w:rPr>
            <w:noProof/>
            <w:webHidden/>
          </w:rPr>
          <w:fldChar w:fldCharType="begin"/>
        </w:r>
        <w:r>
          <w:rPr>
            <w:noProof/>
            <w:webHidden/>
          </w:rPr>
          <w:instrText xml:space="preserve"> PAGEREF _Toc221527789 \h </w:instrText>
        </w:r>
        <w:r>
          <w:rPr>
            <w:noProof/>
            <w:webHidden/>
          </w:rPr>
        </w:r>
        <w:r>
          <w:rPr>
            <w:noProof/>
            <w:webHidden/>
          </w:rPr>
          <w:fldChar w:fldCharType="separate"/>
        </w:r>
        <w:r>
          <w:rPr>
            <w:noProof/>
            <w:webHidden/>
          </w:rPr>
          <w:t>2</w:t>
        </w:r>
        <w:r>
          <w:rPr>
            <w:noProof/>
            <w:webHidden/>
          </w:rPr>
          <w:fldChar w:fldCharType="end"/>
        </w:r>
      </w:hyperlink>
    </w:p>
    <w:p w14:paraId="430B53E8" w14:textId="78CABA90" w:rsidR="008A251D" w:rsidRDefault="008A251D">
      <w:pPr>
        <w:pStyle w:val="TDC2"/>
        <w:tabs>
          <w:tab w:val="right" w:leader="dot" w:pos="8494"/>
        </w:tabs>
        <w:rPr>
          <w:rFonts w:asciiTheme="minorHAnsi" w:eastAsiaTheme="minorEastAsia" w:hAnsiTheme="minorHAnsi"/>
          <w:noProof/>
          <w:sz w:val="24"/>
          <w:szCs w:val="24"/>
          <w:lang w:eastAsia="es-ES"/>
        </w:rPr>
      </w:pPr>
      <w:hyperlink w:anchor="_Toc221527790" w:history="1">
        <w:r w:rsidRPr="009027CE">
          <w:rPr>
            <w:rStyle w:val="Hipervnculo"/>
            <w:noProof/>
            <w:highlight w:val="yellow"/>
          </w:rPr>
          <w:t>El Documento Electrónico: Definición y Dimensiones</w:t>
        </w:r>
        <w:r>
          <w:rPr>
            <w:noProof/>
            <w:webHidden/>
          </w:rPr>
          <w:tab/>
        </w:r>
        <w:r>
          <w:rPr>
            <w:noProof/>
            <w:webHidden/>
          </w:rPr>
          <w:fldChar w:fldCharType="begin"/>
        </w:r>
        <w:r>
          <w:rPr>
            <w:noProof/>
            <w:webHidden/>
          </w:rPr>
          <w:instrText xml:space="preserve"> PAGEREF _Toc221527790 \h </w:instrText>
        </w:r>
        <w:r>
          <w:rPr>
            <w:noProof/>
            <w:webHidden/>
          </w:rPr>
        </w:r>
        <w:r>
          <w:rPr>
            <w:noProof/>
            <w:webHidden/>
          </w:rPr>
          <w:fldChar w:fldCharType="separate"/>
        </w:r>
        <w:r>
          <w:rPr>
            <w:noProof/>
            <w:webHidden/>
          </w:rPr>
          <w:t>2</w:t>
        </w:r>
        <w:r>
          <w:rPr>
            <w:noProof/>
            <w:webHidden/>
          </w:rPr>
          <w:fldChar w:fldCharType="end"/>
        </w:r>
      </w:hyperlink>
    </w:p>
    <w:p w14:paraId="249EC400" w14:textId="5F23DEC6" w:rsidR="008A251D" w:rsidRDefault="008A251D">
      <w:pPr>
        <w:pStyle w:val="TDC2"/>
        <w:tabs>
          <w:tab w:val="right" w:leader="dot" w:pos="8494"/>
        </w:tabs>
        <w:rPr>
          <w:rFonts w:asciiTheme="minorHAnsi" w:eastAsiaTheme="minorEastAsia" w:hAnsiTheme="minorHAnsi"/>
          <w:noProof/>
          <w:sz w:val="24"/>
          <w:szCs w:val="24"/>
          <w:lang w:eastAsia="es-ES"/>
        </w:rPr>
      </w:pPr>
      <w:hyperlink w:anchor="_Toc221527791" w:history="1">
        <w:r w:rsidRPr="009027CE">
          <w:rPr>
            <w:rStyle w:val="Hipervnculo"/>
            <w:noProof/>
            <w:highlight w:val="yellow"/>
          </w:rPr>
          <w:t>Estructura Lógica y Componentes (Estructura de Intercambio)</w:t>
        </w:r>
        <w:r>
          <w:rPr>
            <w:noProof/>
            <w:webHidden/>
          </w:rPr>
          <w:tab/>
        </w:r>
        <w:r>
          <w:rPr>
            <w:noProof/>
            <w:webHidden/>
          </w:rPr>
          <w:fldChar w:fldCharType="begin"/>
        </w:r>
        <w:r>
          <w:rPr>
            <w:noProof/>
            <w:webHidden/>
          </w:rPr>
          <w:instrText xml:space="preserve"> PAGEREF _Toc221527791 \h </w:instrText>
        </w:r>
        <w:r>
          <w:rPr>
            <w:noProof/>
            <w:webHidden/>
          </w:rPr>
        </w:r>
        <w:r>
          <w:rPr>
            <w:noProof/>
            <w:webHidden/>
          </w:rPr>
          <w:fldChar w:fldCharType="separate"/>
        </w:r>
        <w:r>
          <w:rPr>
            <w:noProof/>
            <w:webHidden/>
          </w:rPr>
          <w:t>3</w:t>
        </w:r>
        <w:r>
          <w:rPr>
            <w:noProof/>
            <w:webHidden/>
          </w:rPr>
          <w:fldChar w:fldCharType="end"/>
        </w:r>
      </w:hyperlink>
    </w:p>
    <w:p w14:paraId="79D1E9DF" w14:textId="1AA907E3" w:rsidR="008A251D" w:rsidRDefault="008A251D">
      <w:pPr>
        <w:pStyle w:val="TDC2"/>
        <w:tabs>
          <w:tab w:val="right" w:leader="dot" w:pos="8494"/>
        </w:tabs>
        <w:rPr>
          <w:rFonts w:asciiTheme="minorHAnsi" w:eastAsiaTheme="minorEastAsia" w:hAnsiTheme="minorHAnsi"/>
          <w:noProof/>
          <w:sz w:val="24"/>
          <w:szCs w:val="24"/>
          <w:lang w:eastAsia="es-ES"/>
        </w:rPr>
      </w:pPr>
      <w:hyperlink w:anchor="_Toc221527792" w:history="1">
        <w:r w:rsidRPr="009027CE">
          <w:rPr>
            <w:rStyle w:val="Hipervnculo"/>
            <w:noProof/>
            <w:highlight w:val="yellow"/>
          </w:rPr>
          <w:t>Metadatos Mínimos Obligatorios (</w:t>
        </w:r>
        <w:r w:rsidRPr="009027CE">
          <w:rPr>
            <w:rStyle w:val="Hipervnculo"/>
            <w:b/>
            <w:bCs/>
            <w:noProof/>
            <w:highlight w:val="yellow"/>
          </w:rPr>
          <w:t>e-EMGDE</w:t>
        </w:r>
        <w:r w:rsidRPr="009027CE">
          <w:rPr>
            <w:rStyle w:val="Hipervnculo"/>
            <w:noProof/>
            <w:highlight w:val="yellow"/>
          </w:rPr>
          <w:t>)</w:t>
        </w:r>
        <w:r>
          <w:rPr>
            <w:noProof/>
            <w:webHidden/>
          </w:rPr>
          <w:tab/>
        </w:r>
        <w:r>
          <w:rPr>
            <w:noProof/>
            <w:webHidden/>
          </w:rPr>
          <w:fldChar w:fldCharType="begin"/>
        </w:r>
        <w:r>
          <w:rPr>
            <w:noProof/>
            <w:webHidden/>
          </w:rPr>
          <w:instrText xml:space="preserve"> PAGEREF _Toc221527792 \h </w:instrText>
        </w:r>
        <w:r>
          <w:rPr>
            <w:noProof/>
            <w:webHidden/>
          </w:rPr>
        </w:r>
        <w:r>
          <w:rPr>
            <w:noProof/>
            <w:webHidden/>
          </w:rPr>
          <w:fldChar w:fldCharType="separate"/>
        </w:r>
        <w:r>
          <w:rPr>
            <w:noProof/>
            <w:webHidden/>
          </w:rPr>
          <w:t>4</w:t>
        </w:r>
        <w:r>
          <w:rPr>
            <w:noProof/>
            <w:webHidden/>
          </w:rPr>
          <w:fldChar w:fldCharType="end"/>
        </w:r>
      </w:hyperlink>
    </w:p>
    <w:p w14:paraId="050600DC" w14:textId="5C96A4D3" w:rsidR="008A251D" w:rsidRDefault="008A251D">
      <w:pPr>
        <w:pStyle w:val="TDC2"/>
        <w:tabs>
          <w:tab w:val="right" w:leader="dot" w:pos="8494"/>
        </w:tabs>
        <w:rPr>
          <w:rFonts w:asciiTheme="minorHAnsi" w:eastAsiaTheme="minorEastAsia" w:hAnsiTheme="minorHAnsi"/>
          <w:noProof/>
          <w:sz w:val="24"/>
          <w:szCs w:val="24"/>
          <w:lang w:eastAsia="es-ES"/>
        </w:rPr>
      </w:pPr>
      <w:hyperlink w:anchor="_Toc221527793" w:history="1">
        <w:r w:rsidRPr="009027CE">
          <w:rPr>
            <w:rStyle w:val="Hipervnculo"/>
            <w:noProof/>
            <w:highlight w:val="yellow"/>
          </w:rPr>
          <w:t>Desglose de las Normas Técnicas de Interoperabilidad (NTI)</w:t>
        </w:r>
        <w:r>
          <w:rPr>
            <w:noProof/>
            <w:webHidden/>
          </w:rPr>
          <w:tab/>
        </w:r>
        <w:r>
          <w:rPr>
            <w:noProof/>
            <w:webHidden/>
          </w:rPr>
          <w:fldChar w:fldCharType="begin"/>
        </w:r>
        <w:r>
          <w:rPr>
            <w:noProof/>
            <w:webHidden/>
          </w:rPr>
          <w:instrText xml:space="preserve"> PAGEREF _Toc221527793 \h </w:instrText>
        </w:r>
        <w:r>
          <w:rPr>
            <w:noProof/>
            <w:webHidden/>
          </w:rPr>
        </w:r>
        <w:r>
          <w:rPr>
            <w:noProof/>
            <w:webHidden/>
          </w:rPr>
          <w:fldChar w:fldCharType="separate"/>
        </w:r>
        <w:r>
          <w:rPr>
            <w:noProof/>
            <w:webHidden/>
          </w:rPr>
          <w:t>5</w:t>
        </w:r>
        <w:r>
          <w:rPr>
            <w:noProof/>
            <w:webHidden/>
          </w:rPr>
          <w:fldChar w:fldCharType="end"/>
        </w:r>
      </w:hyperlink>
    </w:p>
    <w:p w14:paraId="525B9A50" w14:textId="5B607933" w:rsidR="008A251D" w:rsidRDefault="008A251D">
      <w:pPr>
        <w:pStyle w:val="TDC2"/>
        <w:tabs>
          <w:tab w:val="right" w:leader="dot" w:pos="8494"/>
        </w:tabs>
        <w:rPr>
          <w:rFonts w:asciiTheme="minorHAnsi" w:eastAsiaTheme="minorEastAsia" w:hAnsiTheme="minorHAnsi"/>
          <w:noProof/>
          <w:sz w:val="24"/>
          <w:szCs w:val="24"/>
          <w:lang w:eastAsia="es-ES"/>
        </w:rPr>
      </w:pPr>
      <w:hyperlink w:anchor="_Toc221527794" w:history="1">
        <w:r w:rsidRPr="009027CE">
          <w:rPr>
            <w:rStyle w:val="Hipervnculo"/>
            <w:noProof/>
            <w:highlight w:val="yellow"/>
          </w:rPr>
          <w:t>Intercambio, Registro y Servicios Comunes</w:t>
        </w:r>
        <w:r>
          <w:rPr>
            <w:noProof/>
            <w:webHidden/>
          </w:rPr>
          <w:tab/>
        </w:r>
        <w:r>
          <w:rPr>
            <w:noProof/>
            <w:webHidden/>
          </w:rPr>
          <w:fldChar w:fldCharType="begin"/>
        </w:r>
        <w:r>
          <w:rPr>
            <w:noProof/>
            <w:webHidden/>
          </w:rPr>
          <w:instrText xml:space="preserve"> PAGEREF _Toc221527794 \h </w:instrText>
        </w:r>
        <w:r>
          <w:rPr>
            <w:noProof/>
            <w:webHidden/>
          </w:rPr>
        </w:r>
        <w:r>
          <w:rPr>
            <w:noProof/>
            <w:webHidden/>
          </w:rPr>
          <w:fldChar w:fldCharType="separate"/>
        </w:r>
        <w:r>
          <w:rPr>
            <w:noProof/>
            <w:webHidden/>
          </w:rPr>
          <w:t>6</w:t>
        </w:r>
        <w:r>
          <w:rPr>
            <w:noProof/>
            <w:webHidden/>
          </w:rPr>
          <w:fldChar w:fldCharType="end"/>
        </w:r>
      </w:hyperlink>
    </w:p>
    <w:p w14:paraId="1F3BD737" w14:textId="3E45CCF0" w:rsidR="008A251D" w:rsidRDefault="008A251D">
      <w:pPr>
        <w:pStyle w:val="TDC2"/>
        <w:tabs>
          <w:tab w:val="right" w:leader="dot" w:pos="8494"/>
        </w:tabs>
        <w:rPr>
          <w:rFonts w:asciiTheme="minorHAnsi" w:eastAsiaTheme="minorEastAsia" w:hAnsiTheme="minorHAnsi"/>
          <w:noProof/>
          <w:sz w:val="24"/>
          <w:szCs w:val="24"/>
          <w:lang w:eastAsia="es-ES"/>
        </w:rPr>
      </w:pPr>
      <w:hyperlink w:anchor="_Toc221527795" w:history="1">
        <w:r w:rsidRPr="009027CE">
          <w:rPr>
            <w:rStyle w:val="Hipervnculo"/>
            <w:noProof/>
            <w:highlight w:val="yellow"/>
          </w:rPr>
          <w:t>Copiado Auténtico, Conversión y Acceso</w:t>
        </w:r>
        <w:r>
          <w:rPr>
            <w:noProof/>
            <w:webHidden/>
          </w:rPr>
          <w:tab/>
        </w:r>
        <w:r>
          <w:rPr>
            <w:noProof/>
            <w:webHidden/>
          </w:rPr>
          <w:fldChar w:fldCharType="begin"/>
        </w:r>
        <w:r>
          <w:rPr>
            <w:noProof/>
            <w:webHidden/>
          </w:rPr>
          <w:instrText xml:space="preserve"> PAGEREF _Toc221527795 \h </w:instrText>
        </w:r>
        <w:r>
          <w:rPr>
            <w:noProof/>
            <w:webHidden/>
          </w:rPr>
        </w:r>
        <w:r>
          <w:rPr>
            <w:noProof/>
            <w:webHidden/>
          </w:rPr>
          <w:fldChar w:fldCharType="separate"/>
        </w:r>
        <w:r>
          <w:rPr>
            <w:noProof/>
            <w:webHidden/>
          </w:rPr>
          <w:t>7</w:t>
        </w:r>
        <w:r>
          <w:rPr>
            <w:noProof/>
            <w:webHidden/>
          </w:rPr>
          <w:fldChar w:fldCharType="end"/>
        </w:r>
      </w:hyperlink>
    </w:p>
    <w:p w14:paraId="55BC1EE3" w14:textId="5A53018F" w:rsidR="008A251D" w:rsidRDefault="008A251D">
      <w:pPr>
        <w:pStyle w:val="TDC2"/>
        <w:tabs>
          <w:tab w:val="right" w:leader="dot" w:pos="8494"/>
        </w:tabs>
        <w:rPr>
          <w:rFonts w:asciiTheme="minorHAnsi" w:eastAsiaTheme="minorEastAsia" w:hAnsiTheme="minorHAnsi"/>
          <w:noProof/>
          <w:sz w:val="24"/>
          <w:szCs w:val="24"/>
          <w:lang w:eastAsia="es-ES"/>
        </w:rPr>
      </w:pPr>
      <w:hyperlink w:anchor="_Toc221527796" w:history="1">
        <w:r w:rsidRPr="009027CE">
          <w:rPr>
            <w:rStyle w:val="Hipervnculo"/>
            <w:noProof/>
          </w:rPr>
          <w:t>Auditoría y Conformidad con el ENI</w:t>
        </w:r>
        <w:r>
          <w:rPr>
            <w:noProof/>
            <w:webHidden/>
          </w:rPr>
          <w:tab/>
        </w:r>
        <w:r>
          <w:rPr>
            <w:noProof/>
            <w:webHidden/>
          </w:rPr>
          <w:fldChar w:fldCharType="begin"/>
        </w:r>
        <w:r>
          <w:rPr>
            <w:noProof/>
            <w:webHidden/>
          </w:rPr>
          <w:instrText xml:space="preserve"> PAGEREF _Toc221527796 \h </w:instrText>
        </w:r>
        <w:r>
          <w:rPr>
            <w:noProof/>
            <w:webHidden/>
          </w:rPr>
        </w:r>
        <w:r>
          <w:rPr>
            <w:noProof/>
            <w:webHidden/>
          </w:rPr>
          <w:fldChar w:fldCharType="separate"/>
        </w:r>
        <w:r>
          <w:rPr>
            <w:noProof/>
            <w:webHidden/>
          </w:rPr>
          <w:t>8</w:t>
        </w:r>
        <w:r>
          <w:rPr>
            <w:noProof/>
            <w:webHidden/>
          </w:rPr>
          <w:fldChar w:fldCharType="end"/>
        </w:r>
      </w:hyperlink>
    </w:p>
    <w:p w14:paraId="370B9429" w14:textId="2CF9D65D" w:rsidR="002417F8" w:rsidRDefault="00F662A5" w:rsidP="002417F8">
      <w:pPr>
        <w:jc w:val="center"/>
        <w:rPr>
          <w:rFonts w:ascii="Arial Black" w:hAnsi="Arial Black"/>
          <w:sz w:val="36"/>
          <w:szCs w:val="28"/>
        </w:rPr>
      </w:pPr>
      <w:r>
        <w:rPr>
          <w:rFonts w:ascii="Arial Black" w:hAnsi="Arial Black"/>
          <w:sz w:val="36"/>
          <w:szCs w:val="28"/>
        </w:rPr>
        <w:fldChar w:fldCharType="end"/>
      </w:r>
    </w:p>
    <w:p w14:paraId="74468AA5" w14:textId="090E3E87" w:rsidR="002417F8" w:rsidRDefault="00FA748B" w:rsidP="00FA748B">
      <w:pPr>
        <w:pStyle w:val="Ttulo2"/>
      </w:pPr>
      <w:bookmarkStart w:id="0" w:name="_Toc221527788"/>
      <w:r w:rsidRPr="00C2241C">
        <w:rPr>
          <w:highlight w:val="yellow"/>
        </w:rPr>
        <w:t>Marco legal y fundamentos del ENI</w:t>
      </w:r>
      <w:bookmarkEnd w:id="0"/>
    </w:p>
    <w:p w14:paraId="3DDB2768" w14:textId="4BD73C4A" w:rsidR="00FA748B" w:rsidRDefault="00FA748B" w:rsidP="00FA748B">
      <w:r w:rsidRPr="00FA748B">
        <w:t>El ENI constituye el marco común de principios y normas que garantizan una cooperación fluida entre las Administraciones Públicas (AA.PP.). Su base jurídica se articula en una jerarquía clara:</w:t>
      </w:r>
    </w:p>
    <w:p w14:paraId="39EF9DEB" w14:textId="4F07CEEA" w:rsidR="00FA748B" w:rsidRPr="00C2241C" w:rsidRDefault="00FA748B" w:rsidP="00FA748B">
      <w:pPr>
        <w:pStyle w:val="Prrafodelista"/>
        <w:numPr>
          <w:ilvl w:val="0"/>
          <w:numId w:val="1"/>
        </w:numPr>
        <w:rPr>
          <w:highlight w:val="yellow"/>
        </w:rPr>
      </w:pPr>
      <w:r w:rsidRPr="00C2241C">
        <w:rPr>
          <w:b/>
          <w:bCs/>
          <w:highlight w:val="yellow"/>
        </w:rPr>
        <w:t>Ley 40/2015 (Art. 156):</w:t>
      </w:r>
      <w:r w:rsidRPr="00C2241C">
        <w:rPr>
          <w:highlight w:val="yellow"/>
        </w:rPr>
        <w:t xml:space="preserve"> Es la norma habilitante que establece la obligatoriedad del ENI para garantizar la interoperabilidad técnica, semántica y organizativa. Define el "qué" debe lograrse.</w:t>
      </w:r>
    </w:p>
    <w:p w14:paraId="71A4A713" w14:textId="1918270F" w:rsidR="00FA748B" w:rsidRPr="00C2241C" w:rsidRDefault="00FA748B" w:rsidP="00FA748B">
      <w:pPr>
        <w:pStyle w:val="Prrafodelista"/>
        <w:numPr>
          <w:ilvl w:val="0"/>
          <w:numId w:val="1"/>
        </w:numPr>
        <w:rPr>
          <w:highlight w:val="yellow"/>
        </w:rPr>
      </w:pPr>
      <w:r w:rsidRPr="00C2241C">
        <w:rPr>
          <w:b/>
          <w:bCs/>
          <w:highlight w:val="yellow"/>
        </w:rPr>
        <w:t>Real Decreto 4/2010</w:t>
      </w:r>
      <w:r w:rsidRPr="00C2241C">
        <w:rPr>
          <w:highlight w:val="yellow"/>
        </w:rPr>
        <w:t>: Es el marco regulatorio y de desarrollo. Define el "cómo" se implementan los principios de interoperabilidad y mandata la creación de las Normas Técnicas de Interoperabilidad (NTI).</w:t>
      </w:r>
    </w:p>
    <w:p w14:paraId="5826E4F3" w14:textId="4D902DA0" w:rsidR="00FA748B" w:rsidRDefault="00FA748B" w:rsidP="00FA748B">
      <w:pPr>
        <w:pStyle w:val="Prrafodelista"/>
        <w:numPr>
          <w:ilvl w:val="0"/>
          <w:numId w:val="1"/>
        </w:numPr>
      </w:pPr>
      <w:r w:rsidRPr="00436E11">
        <w:rPr>
          <w:b/>
          <w:bCs/>
        </w:rPr>
        <w:t>Ley 39/2015</w:t>
      </w:r>
      <w:r w:rsidRPr="00FA748B">
        <w:t>: Establece la validez procedimental y los requisitos de eficacia de los documentos y expedientes en el procedimiento administrativo común.</w:t>
      </w:r>
    </w:p>
    <w:p w14:paraId="5CBC9FB8" w14:textId="77777777" w:rsidR="00FA748B" w:rsidRDefault="00FA748B" w:rsidP="00FA748B"/>
    <w:p w14:paraId="6E2DF2B0" w14:textId="77777777" w:rsidR="0087239E" w:rsidRDefault="0087239E" w:rsidP="00FA748B"/>
    <w:p w14:paraId="4CF851D7" w14:textId="77777777" w:rsidR="0087239E" w:rsidRDefault="0087239E" w:rsidP="00FA748B"/>
    <w:p w14:paraId="47AA3449" w14:textId="2972D638" w:rsidR="00FA748B" w:rsidRDefault="008C19B3" w:rsidP="00F662A5">
      <w:r w:rsidRPr="00C2241C">
        <w:rPr>
          <w:highlight w:val="yellow"/>
        </w:rPr>
        <w:lastRenderedPageBreak/>
        <w:t>Objetivos principales del ENI</w:t>
      </w:r>
      <w:r w:rsidR="00F662A5" w:rsidRPr="00C2241C">
        <w:rPr>
          <w:highlight w:val="yellow"/>
        </w:rPr>
        <w:t>:</w:t>
      </w:r>
    </w:p>
    <w:p w14:paraId="31A42604" w14:textId="6CD16D5E" w:rsidR="008C19B3" w:rsidRDefault="001F34B7" w:rsidP="001F34B7">
      <w:pPr>
        <w:pStyle w:val="Prrafodelista"/>
        <w:numPr>
          <w:ilvl w:val="0"/>
          <w:numId w:val="2"/>
        </w:numPr>
      </w:pPr>
      <w:r w:rsidRPr="0087239E">
        <w:rPr>
          <w:b/>
          <w:bCs/>
        </w:rPr>
        <w:t>Eficacia y Eficiencia</w:t>
      </w:r>
      <w:r w:rsidRPr="001F34B7">
        <w:t>: Optimización de recursos y reducción de tiempos en la tramitación.</w:t>
      </w:r>
    </w:p>
    <w:p w14:paraId="59B56619" w14:textId="7F687498" w:rsidR="001F34B7" w:rsidRDefault="001F34B7" w:rsidP="001F34B7">
      <w:pPr>
        <w:pStyle w:val="Prrafodelista"/>
        <w:numPr>
          <w:ilvl w:val="0"/>
          <w:numId w:val="2"/>
        </w:numPr>
      </w:pPr>
      <w:r w:rsidRPr="0087239E">
        <w:rPr>
          <w:b/>
          <w:bCs/>
        </w:rPr>
        <w:t>Ejercicio de Derechos</w:t>
      </w:r>
      <w:r w:rsidRPr="001F34B7">
        <w:t>: Garantizar que los ciudadanos interactúen con la Administración con plenas garantías jurídicas y técnicas.</w:t>
      </w:r>
    </w:p>
    <w:p w14:paraId="76E63BA7" w14:textId="49CD5424" w:rsidR="001F34B7" w:rsidRDefault="001F34B7" w:rsidP="001F34B7">
      <w:pPr>
        <w:pStyle w:val="Prrafodelista"/>
        <w:numPr>
          <w:ilvl w:val="0"/>
          <w:numId w:val="2"/>
        </w:numPr>
      </w:pPr>
      <w:r w:rsidRPr="0087239E">
        <w:rPr>
          <w:b/>
          <w:bCs/>
        </w:rPr>
        <w:t>Cumplimiento de Deberes</w:t>
      </w:r>
      <w:r w:rsidRPr="001F34B7">
        <w:t>: Facilitar las potestades administrativas en un entorno de cooperación.</w:t>
      </w:r>
    </w:p>
    <w:p w14:paraId="59FAB1A8" w14:textId="2263ABF8" w:rsidR="001F34B7" w:rsidRPr="00C2241C" w:rsidRDefault="00057B72" w:rsidP="001F34B7">
      <w:pPr>
        <w:pStyle w:val="Prrafodelista"/>
        <w:numPr>
          <w:ilvl w:val="0"/>
          <w:numId w:val="2"/>
        </w:numPr>
        <w:rPr>
          <w:highlight w:val="yellow"/>
        </w:rPr>
      </w:pPr>
      <w:r w:rsidRPr="00C2241C">
        <w:rPr>
          <w:b/>
          <w:bCs/>
          <w:highlight w:val="yellow"/>
        </w:rPr>
        <w:t>Seguridad y Continuidad</w:t>
      </w:r>
      <w:r w:rsidRPr="00C2241C">
        <w:rPr>
          <w:highlight w:val="yellow"/>
        </w:rPr>
        <w:t>: Asegurar que los sistemas se entiendan y que la información perdure.</w:t>
      </w:r>
    </w:p>
    <w:p w14:paraId="0EA2324D" w14:textId="77777777" w:rsidR="00057B72" w:rsidRDefault="00057B72" w:rsidP="00057B72"/>
    <w:p w14:paraId="0D3E3AEF" w14:textId="5F7AE948" w:rsidR="00057B72" w:rsidRDefault="00057B72" w:rsidP="00057B72">
      <w:pPr>
        <w:pStyle w:val="Ttulo2"/>
      </w:pPr>
      <w:bookmarkStart w:id="1" w:name="_Toc221527789"/>
      <w:r w:rsidRPr="00C2241C">
        <w:rPr>
          <w:highlight w:val="yellow"/>
        </w:rPr>
        <w:t>Dimensiones de la Interoperabilidad</w:t>
      </w:r>
      <w:bookmarkEnd w:id="1"/>
    </w:p>
    <w:p w14:paraId="0646D959" w14:textId="3830EEB8" w:rsidR="00057B72" w:rsidRDefault="00057B72" w:rsidP="00057B72">
      <w:r w:rsidRPr="00057B72">
        <w:t>La interoperabilidad se desglosa en cuatro dimensiones críticas para la Administración Digital:</w:t>
      </w:r>
    </w:p>
    <w:p w14:paraId="46DFDDB0" w14:textId="054D2D9B" w:rsidR="00057B72" w:rsidRDefault="00057B72" w:rsidP="00057B72">
      <w:pPr>
        <w:pStyle w:val="Prrafodelista"/>
        <w:numPr>
          <w:ilvl w:val="0"/>
          <w:numId w:val="3"/>
        </w:numPr>
      </w:pPr>
      <w:r w:rsidRPr="00C2241C">
        <w:rPr>
          <w:b/>
          <w:bCs/>
          <w:highlight w:val="yellow"/>
        </w:rPr>
        <w:t>Técnica</w:t>
      </w:r>
      <w:r w:rsidRPr="00057B72">
        <w:t>: Relativa a la conexión de sistemas y servicios (hardware, software, redes y protocolos).</w:t>
      </w:r>
    </w:p>
    <w:p w14:paraId="04487269" w14:textId="3260584B" w:rsidR="00057B72" w:rsidRDefault="00057B72" w:rsidP="00057B72">
      <w:pPr>
        <w:pStyle w:val="Prrafodelista"/>
        <w:numPr>
          <w:ilvl w:val="0"/>
          <w:numId w:val="3"/>
        </w:numPr>
      </w:pPr>
      <w:r w:rsidRPr="00C2241C">
        <w:rPr>
          <w:b/>
          <w:bCs/>
          <w:highlight w:val="yellow"/>
        </w:rPr>
        <w:t>Semántica</w:t>
      </w:r>
      <w:r w:rsidRPr="00057B72">
        <w:t>: Asegura que el significado de la información sea interpretado de forma idéntica por cualquier sistema emisor o receptor.</w:t>
      </w:r>
    </w:p>
    <w:p w14:paraId="59A73564" w14:textId="73A119FC" w:rsidR="00057B72" w:rsidRDefault="00057B72" w:rsidP="00057B72">
      <w:pPr>
        <w:pStyle w:val="Prrafodelista"/>
        <w:numPr>
          <w:ilvl w:val="0"/>
          <w:numId w:val="3"/>
        </w:numPr>
      </w:pPr>
      <w:r w:rsidRPr="00C2241C">
        <w:rPr>
          <w:b/>
          <w:bCs/>
          <w:highlight w:val="yellow"/>
        </w:rPr>
        <w:t>Organizativa</w:t>
      </w:r>
      <w:r w:rsidRPr="00057B72">
        <w:t>: Define los procesos de negocio, objetivos y la colaboración entre entidades con marcos legales distintos.</w:t>
      </w:r>
    </w:p>
    <w:p w14:paraId="62A9B016" w14:textId="3AD60B6D" w:rsidR="00057B72" w:rsidRDefault="00057B72" w:rsidP="00057B72">
      <w:pPr>
        <w:pStyle w:val="Prrafodelista"/>
        <w:numPr>
          <w:ilvl w:val="0"/>
          <w:numId w:val="3"/>
        </w:numPr>
      </w:pPr>
      <w:r w:rsidRPr="0087239E">
        <w:rPr>
          <w:b/>
          <w:bCs/>
        </w:rPr>
        <w:t>Temporal</w:t>
      </w:r>
      <w:r w:rsidRPr="00057B72">
        <w:t>: Centrada en la conservación a largo plazo, garantizando que el documento sea legible y mantenga su valor probatorio. Está regulada específicamente por la NTI de Política de gestión de documentos electrónicos.</w:t>
      </w:r>
    </w:p>
    <w:p w14:paraId="349AAA7C" w14:textId="77777777" w:rsidR="00057B72" w:rsidRDefault="00057B72" w:rsidP="00057B72"/>
    <w:p w14:paraId="462846C6" w14:textId="4FD79801" w:rsidR="00057B72" w:rsidRDefault="00345DB2" w:rsidP="00345DB2">
      <w:pPr>
        <w:pStyle w:val="Ttulo2"/>
      </w:pPr>
      <w:bookmarkStart w:id="2" w:name="_Toc221527790"/>
      <w:r w:rsidRPr="00C2241C">
        <w:rPr>
          <w:highlight w:val="yellow"/>
        </w:rPr>
        <w:t>El Documento Electrónico: Definición y Dimensiones</w:t>
      </w:r>
      <w:bookmarkEnd w:id="2"/>
    </w:p>
    <w:p w14:paraId="200417CC" w14:textId="4A895081" w:rsidR="00345DB2" w:rsidRDefault="00345DB2" w:rsidP="00345DB2">
      <w:r w:rsidRPr="00345DB2">
        <w:t>El documento electrónico es la unidad fundamental de información administrativa.</w:t>
      </w:r>
    </w:p>
    <w:p w14:paraId="53558802" w14:textId="3FC9B55E" w:rsidR="00345DB2" w:rsidRDefault="00345DB2" w:rsidP="00345DB2">
      <w:pPr>
        <w:pStyle w:val="Prrafodelista"/>
        <w:numPr>
          <w:ilvl w:val="0"/>
          <w:numId w:val="4"/>
        </w:numPr>
      </w:pPr>
      <w:r w:rsidRPr="0087239E">
        <w:rPr>
          <w:b/>
          <w:bCs/>
        </w:rPr>
        <w:t>Documento Electrónico (RD 4/2010):</w:t>
      </w:r>
      <w:r w:rsidRPr="00345DB2">
        <w:t xml:space="preserve"> Información de cualquier naturaleza en forma electrónica, archivada en soporte electrónico según un formato determinado y susceptible de identificación y tratamiento diferenciado.</w:t>
      </w:r>
    </w:p>
    <w:p w14:paraId="7C8A21B1" w14:textId="41A73F0A" w:rsidR="00345DB2" w:rsidRDefault="00345DB2" w:rsidP="00345DB2">
      <w:pPr>
        <w:pStyle w:val="Prrafodelista"/>
        <w:numPr>
          <w:ilvl w:val="0"/>
          <w:numId w:val="4"/>
        </w:numPr>
      </w:pPr>
      <w:r w:rsidRPr="0087239E">
        <w:rPr>
          <w:b/>
          <w:bCs/>
        </w:rPr>
        <w:t>Documento Administrativo Electrónico (Ley 39/2015):</w:t>
      </w:r>
      <w:r w:rsidRPr="00345DB2">
        <w:t xml:space="preserve"> Aquel emitido válidamente por los órganos de las Administraciones Públicas por medios electrónicos.</w:t>
      </w:r>
    </w:p>
    <w:p w14:paraId="164DABEB" w14:textId="77777777" w:rsidR="00345DB2" w:rsidRDefault="00345DB2" w:rsidP="00345DB2"/>
    <w:p w14:paraId="4024BB73" w14:textId="4773C6DD" w:rsidR="00345DB2" w:rsidRDefault="00345DB2" w:rsidP="00345DB2">
      <w:r w:rsidRPr="00C2241C">
        <w:rPr>
          <w:highlight w:val="yellow"/>
        </w:rPr>
        <w:t>Requisitos de Validez (Art. 26.2 Ley 39/2015)</w:t>
      </w:r>
    </w:p>
    <w:tbl>
      <w:tblPr>
        <w:tblStyle w:val="Tablaconcuadrcula"/>
        <w:tblW w:w="0" w:type="auto"/>
        <w:tblLook w:val="04A0" w:firstRow="1" w:lastRow="0" w:firstColumn="1" w:lastColumn="0" w:noHBand="0" w:noVBand="1"/>
      </w:tblPr>
      <w:tblGrid>
        <w:gridCol w:w="2532"/>
        <w:gridCol w:w="2742"/>
        <w:gridCol w:w="3220"/>
      </w:tblGrid>
      <w:tr w:rsidR="000147FB" w:rsidRPr="0087239E" w14:paraId="1315905F" w14:textId="77777777" w:rsidTr="00FB31DB">
        <w:tc>
          <w:tcPr>
            <w:tcW w:w="0" w:type="auto"/>
          </w:tcPr>
          <w:p w14:paraId="6868BCD3" w14:textId="77BDE94C" w:rsidR="000147FB" w:rsidRPr="0087239E" w:rsidRDefault="000147FB" w:rsidP="000147FB">
            <w:pPr>
              <w:jc w:val="center"/>
              <w:rPr>
                <w:b/>
                <w:bCs/>
              </w:rPr>
            </w:pPr>
            <w:r w:rsidRPr="0087239E">
              <w:rPr>
                <w:b/>
                <w:bCs/>
              </w:rPr>
              <w:t>Requisito</w:t>
            </w:r>
          </w:p>
        </w:tc>
        <w:tc>
          <w:tcPr>
            <w:tcW w:w="0" w:type="auto"/>
          </w:tcPr>
          <w:p w14:paraId="1520EA7C" w14:textId="2A5E3901" w:rsidR="000147FB" w:rsidRPr="0087239E" w:rsidRDefault="000147FB" w:rsidP="000147FB">
            <w:pPr>
              <w:jc w:val="center"/>
              <w:rPr>
                <w:b/>
                <w:bCs/>
              </w:rPr>
            </w:pPr>
            <w:r w:rsidRPr="0087239E">
              <w:rPr>
                <w:b/>
                <w:bCs/>
              </w:rPr>
              <w:t>Documento Electrónico Genérico</w:t>
            </w:r>
          </w:p>
        </w:tc>
        <w:tc>
          <w:tcPr>
            <w:tcW w:w="0" w:type="auto"/>
          </w:tcPr>
          <w:p w14:paraId="2AD045E1" w14:textId="7AE8C8DF" w:rsidR="000147FB" w:rsidRPr="0087239E" w:rsidRDefault="000147FB" w:rsidP="000147FB">
            <w:pPr>
              <w:jc w:val="center"/>
              <w:rPr>
                <w:b/>
                <w:bCs/>
              </w:rPr>
            </w:pPr>
            <w:r w:rsidRPr="0087239E">
              <w:rPr>
                <w:b/>
                <w:bCs/>
              </w:rPr>
              <w:t>Documento Administrativo Electrónico</w:t>
            </w:r>
          </w:p>
        </w:tc>
      </w:tr>
      <w:tr w:rsidR="000147FB" w14:paraId="1B3B26DD" w14:textId="77777777" w:rsidTr="00FB31DB">
        <w:tc>
          <w:tcPr>
            <w:tcW w:w="0" w:type="auto"/>
          </w:tcPr>
          <w:p w14:paraId="3D5058DD" w14:textId="3E6152D0" w:rsidR="000147FB" w:rsidRPr="0087239E" w:rsidRDefault="000147FB" w:rsidP="00345DB2">
            <w:pPr>
              <w:rPr>
                <w:b/>
                <w:bCs/>
              </w:rPr>
            </w:pPr>
            <w:r w:rsidRPr="0087239E">
              <w:rPr>
                <w:b/>
                <w:bCs/>
              </w:rPr>
              <w:t>Soporte y Formato</w:t>
            </w:r>
          </w:p>
        </w:tc>
        <w:tc>
          <w:tcPr>
            <w:tcW w:w="0" w:type="auto"/>
          </w:tcPr>
          <w:p w14:paraId="4E6DF3A5" w14:textId="46965470" w:rsidR="000147FB" w:rsidRDefault="000147FB" w:rsidP="00345DB2">
            <w:r>
              <w:t>Requerido técnicamente.</w:t>
            </w:r>
          </w:p>
        </w:tc>
        <w:tc>
          <w:tcPr>
            <w:tcW w:w="0" w:type="auto"/>
          </w:tcPr>
          <w:p w14:paraId="6B28E737" w14:textId="6B4BF6FB" w:rsidR="000147FB" w:rsidRDefault="00A82740" w:rsidP="00345DB2">
            <w:r w:rsidRPr="00A82740">
              <w:t>Obligatorio para validez legal.</w:t>
            </w:r>
          </w:p>
        </w:tc>
      </w:tr>
      <w:tr w:rsidR="000147FB" w14:paraId="0118C2A2" w14:textId="77777777" w:rsidTr="00FB31DB">
        <w:tc>
          <w:tcPr>
            <w:tcW w:w="0" w:type="auto"/>
          </w:tcPr>
          <w:p w14:paraId="474EA5C1" w14:textId="061AC12D" w:rsidR="000147FB" w:rsidRPr="0087239E" w:rsidRDefault="00A82740" w:rsidP="00345DB2">
            <w:pPr>
              <w:rPr>
                <w:b/>
                <w:bCs/>
              </w:rPr>
            </w:pPr>
            <w:r w:rsidRPr="0087239E">
              <w:rPr>
                <w:b/>
                <w:bCs/>
              </w:rPr>
              <w:t>Identificación Diferenciada</w:t>
            </w:r>
          </w:p>
        </w:tc>
        <w:tc>
          <w:tcPr>
            <w:tcW w:w="0" w:type="auto"/>
          </w:tcPr>
          <w:p w14:paraId="2F39C32B" w14:textId="70AC76A0" w:rsidR="000147FB" w:rsidRDefault="00A82740" w:rsidP="00345DB2">
            <w:r w:rsidRPr="00A82740">
              <w:t>Requerido técnicamente.</w:t>
            </w:r>
          </w:p>
        </w:tc>
        <w:tc>
          <w:tcPr>
            <w:tcW w:w="0" w:type="auto"/>
          </w:tcPr>
          <w:p w14:paraId="56010B3B" w14:textId="50B75FDC" w:rsidR="000147FB" w:rsidRDefault="00A82740" w:rsidP="00345DB2">
            <w:r w:rsidRPr="00A82740">
              <w:t>Obligatorio para individualización.</w:t>
            </w:r>
          </w:p>
        </w:tc>
      </w:tr>
      <w:tr w:rsidR="000147FB" w14:paraId="09CFBB71" w14:textId="77777777" w:rsidTr="007C1B7E">
        <w:tc>
          <w:tcPr>
            <w:tcW w:w="0" w:type="auto"/>
            <w:shd w:val="clear" w:color="auto" w:fill="FFFF00"/>
          </w:tcPr>
          <w:p w14:paraId="2DEF7F6B" w14:textId="222FEC55" w:rsidR="000147FB" w:rsidRPr="007C1B7E" w:rsidRDefault="00A82740" w:rsidP="00345DB2">
            <w:pPr>
              <w:rPr>
                <w:b/>
                <w:bCs/>
                <w:highlight w:val="yellow"/>
              </w:rPr>
            </w:pPr>
            <w:r w:rsidRPr="007C1B7E">
              <w:rPr>
                <w:b/>
                <w:bCs/>
                <w:highlight w:val="yellow"/>
              </w:rPr>
              <w:t>Referencia Temporal</w:t>
            </w:r>
          </w:p>
        </w:tc>
        <w:tc>
          <w:tcPr>
            <w:tcW w:w="0" w:type="auto"/>
            <w:shd w:val="clear" w:color="auto" w:fill="FFFF00"/>
          </w:tcPr>
          <w:p w14:paraId="57F7F90C" w14:textId="67C649A8" w:rsidR="000147FB" w:rsidRPr="007C1B7E" w:rsidRDefault="00A82740" w:rsidP="00345DB2">
            <w:pPr>
              <w:rPr>
                <w:highlight w:val="yellow"/>
              </w:rPr>
            </w:pPr>
            <w:r w:rsidRPr="007C1B7E">
              <w:rPr>
                <w:highlight w:val="yellow"/>
              </w:rPr>
              <w:t>No requerida para existencia.</w:t>
            </w:r>
          </w:p>
        </w:tc>
        <w:tc>
          <w:tcPr>
            <w:tcW w:w="0" w:type="auto"/>
            <w:shd w:val="clear" w:color="auto" w:fill="FFFF00"/>
          </w:tcPr>
          <w:p w14:paraId="5F1A2A25" w14:textId="7F24D355" w:rsidR="000147FB" w:rsidRDefault="00963CA1" w:rsidP="00345DB2">
            <w:r w:rsidRPr="007C1B7E">
              <w:rPr>
                <w:highlight w:val="yellow"/>
              </w:rPr>
              <w:t>Obligatoria (momento de emisión).</w:t>
            </w:r>
          </w:p>
        </w:tc>
      </w:tr>
      <w:tr w:rsidR="000147FB" w14:paraId="732C325A" w14:textId="77777777" w:rsidTr="007C1B7E">
        <w:tc>
          <w:tcPr>
            <w:tcW w:w="0" w:type="auto"/>
            <w:shd w:val="clear" w:color="auto" w:fill="FFFF00"/>
          </w:tcPr>
          <w:p w14:paraId="0156840B" w14:textId="73674E14" w:rsidR="000147FB" w:rsidRPr="0087239E" w:rsidRDefault="00A82740" w:rsidP="00345DB2">
            <w:pPr>
              <w:rPr>
                <w:b/>
                <w:bCs/>
              </w:rPr>
            </w:pPr>
            <w:r w:rsidRPr="0087239E">
              <w:rPr>
                <w:b/>
                <w:bCs/>
              </w:rPr>
              <w:t>Metadatos Mínimos</w:t>
            </w:r>
          </w:p>
        </w:tc>
        <w:tc>
          <w:tcPr>
            <w:tcW w:w="0" w:type="auto"/>
            <w:shd w:val="clear" w:color="auto" w:fill="FFFF00"/>
          </w:tcPr>
          <w:p w14:paraId="6F1450FE" w14:textId="4C85DA67" w:rsidR="000147FB" w:rsidRDefault="00A82740" w:rsidP="00345DB2">
            <w:r w:rsidRPr="00A82740">
              <w:t>Según gestión interna.</w:t>
            </w:r>
          </w:p>
        </w:tc>
        <w:tc>
          <w:tcPr>
            <w:tcW w:w="0" w:type="auto"/>
            <w:shd w:val="clear" w:color="auto" w:fill="FFFF00"/>
          </w:tcPr>
          <w:p w14:paraId="7974068C" w14:textId="3BCFCB7F" w:rsidR="000147FB" w:rsidRDefault="00963CA1" w:rsidP="00345DB2">
            <w:r w:rsidRPr="00963CA1">
              <w:t>Obligatorios (e-EMGDE / Anexo I).</w:t>
            </w:r>
          </w:p>
        </w:tc>
      </w:tr>
      <w:tr w:rsidR="000147FB" w14:paraId="3D625C13" w14:textId="77777777" w:rsidTr="007C1B7E">
        <w:tc>
          <w:tcPr>
            <w:tcW w:w="0" w:type="auto"/>
            <w:shd w:val="clear" w:color="auto" w:fill="FFFF00"/>
          </w:tcPr>
          <w:p w14:paraId="01948C87" w14:textId="4AAAC2CF" w:rsidR="000147FB" w:rsidRPr="0087239E" w:rsidRDefault="00A82740" w:rsidP="00345DB2">
            <w:pPr>
              <w:rPr>
                <w:b/>
                <w:bCs/>
              </w:rPr>
            </w:pPr>
            <w:r w:rsidRPr="0087239E">
              <w:rPr>
                <w:b/>
                <w:bCs/>
              </w:rPr>
              <w:t>Firma Electrónica</w:t>
            </w:r>
          </w:p>
        </w:tc>
        <w:tc>
          <w:tcPr>
            <w:tcW w:w="0" w:type="auto"/>
            <w:shd w:val="clear" w:color="auto" w:fill="FFFF00"/>
          </w:tcPr>
          <w:p w14:paraId="3ADFC4D3" w14:textId="3EF20B01" w:rsidR="000147FB" w:rsidRDefault="00A82740" w:rsidP="00345DB2">
            <w:r w:rsidRPr="00A82740">
              <w:t>Según necesidad técnica.</w:t>
            </w:r>
          </w:p>
        </w:tc>
        <w:tc>
          <w:tcPr>
            <w:tcW w:w="0" w:type="auto"/>
            <w:shd w:val="clear" w:color="auto" w:fill="FFFF00"/>
          </w:tcPr>
          <w:p w14:paraId="358EABD2" w14:textId="24C4CBFC" w:rsidR="000147FB" w:rsidRDefault="00963CA1" w:rsidP="00345DB2">
            <w:r w:rsidRPr="00963CA1">
              <w:t>Obligatoria (según normativa).</w:t>
            </w:r>
          </w:p>
        </w:tc>
      </w:tr>
    </w:tbl>
    <w:p w14:paraId="1B5B6348" w14:textId="77777777" w:rsidR="00345DB2" w:rsidRDefault="00345DB2" w:rsidP="00345DB2"/>
    <w:p w14:paraId="18EAC4C9" w14:textId="597019BA" w:rsidR="00963CA1" w:rsidRDefault="00963CA1" w:rsidP="00345DB2">
      <w:r w:rsidRPr="00321C63">
        <w:rPr>
          <w:highlight w:val="yellow"/>
        </w:rPr>
        <w:t>Dimensiones de Alto Nivel:</w:t>
      </w:r>
    </w:p>
    <w:p w14:paraId="2835140A" w14:textId="5EFD0303" w:rsidR="00963CA1" w:rsidRDefault="00963CA1" w:rsidP="00963CA1">
      <w:pPr>
        <w:pStyle w:val="Prrafodelista"/>
        <w:numPr>
          <w:ilvl w:val="0"/>
          <w:numId w:val="5"/>
        </w:numPr>
      </w:pPr>
      <w:r w:rsidRPr="00321C63">
        <w:rPr>
          <w:b/>
          <w:bCs/>
          <w:highlight w:val="yellow"/>
        </w:rPr>
        <w:t>Contenido</w:t>
      </w:r>
      <w:r w:rsidRPr="00963CA1">
        <w:t>: Conjunto de datos que sustancian la información (el "cuerpo" del documento).</w:t>
      </w:r>
    </w:p>
    <w:p w14:paraId="62EE0551" w14:textId="087E4CDB" w:rsidR="00963CA1" w:rsidRDefault="00963CA1" w:rsidP="00963CA1">
      <w:pPr>
        <w:pStyle w:val="Prrafodelista"/>
        <w:numPr>
          <w:ilvl w:val="0"/>
          <w:numId w:val="5"/>
        </w:numPr>
      </w:pPr>
      <w:r w:rsidRPr="00321C63">
        <w:rPr>
          <w:b/>
          <w:bCs/>
          <w:highlight w:val="yellow"/>
        </w:rPr>
        <w:t>Firma</w:t>
      </w:r>
      <w:r w:rsidRPr="00963CA1">
        <w:t>: Datos electrónicos que garantizan integridad, identidad y no repudio.</w:t>
      </w:r>
    </w:p>
    <w:p w14:paraId="17F68427" w14:textId="5AB4DB44" w:rsidR="00963CA1" w:rsidRDefault="00963CA1" w:rsidP="00963CA1">
      <w:pPr>
        <w:pStyle w:val="Prrafodelista"/>
        <w:numPr>
          <w:ilvl w:val="0"/>
          <w:numId w:val="5"/>
        </w:numPr>
      </w:pPr>
      <w:r w:rsidRPr="00321C63">
        <w:rPr>
          <w:b/>
          <w:bCs/>
          <w:highlight w:val="yellow"/>
        </w:rPr>
        <w:t>Metadatos</w:t>
      </w:r>
      <w:r w:rsidRPr="00963CA1">
        <w:t>: Información de contexto que asegura el valor probatorio y la gestión.</w:t>
      </w:r>
    </w:p>
    <w:p w14:paraId="6C86039F" w14:textId="77777777" w:rsidR="00963CA1" w:rsidRDefault="00963CA1" w:rsidP="00963CA1"/>
    <w:p w14:paraId="41CA39D2" w14:textId="7BAAA23F" w:rsidR="00963CA1" w:rsidRDefault="00963CA1" w:rsidP="00963CA1">
      <w:pPr>
        <w:pStyle w:val="Ttulo2"/>
      </w:pPr>
      <w:bookmarkStart w:id="3" w:name="_Toc221527791"/>
      <w:r w:rsidRPr="00154A86">
        <w:rPr>
          <w:highlight w:val="yellow"/>
        </w:rPr>
        <w:t>Estructura Lógica y Componentes (Estructura de Intercambio)</w:t>
      </w:r>
      <w:bookmarkEnd w:id="3"/>
    </w:p>
    <w:p w14:paraId="354BDD3A" w14:textId="12F72C28" w:rsidR="00963CA1" w:rsidRDefault="00963CA1" w:rsidP="00963CA1">
      <w:r w:rsidRPr="00963CA1">
        <w:t xml:space="preserve">Para el intercambio normalizado, el documento electrónico se estructura en un contenedor lógico definido mediante XML Schema </w:t>
      </w:r>
      <w:proofErr w:type="spellStart"/>
      <w:r w:rsidRPr="00963CA1">
        <w:t>Definition</w:t>
      </w:r>
      <w:proofErr w:type="spellEnd"/>
      <w:r w:rsidRPr="00963CA1">
        <w:t xml:space="preserve"> (XSD). La estructura de intercambio se compone de cuatro esquemas fundamentales: XSD Documento electrónico, XSD Contenido, XSD Metadatos y XSD Firmas.</w:t>
      </w:r>
    </w:p>
    <w:p w14:paraId="5E62058D" w14:textId="3E178F7E" w:rsidR="00DD7425" w:rsidRPr="00400B5C" w:rsidRDefault="00DD7425" w:rsidP="00DD7425">
      <w:pPr>
        <w:pStyle w:val="Prrafodelista"/>
        <w:numPr>
          <w:ilvl w:val="0"/>
          <w:numId w:val="6"/>
        </w:numPr>
        <w:rPr>
          <w:highlight w:val="yellow"/>
        </w:rPr>
      </w:pPr>
      <w:r w:rsidRPr="00400B5C">
        <w:rPr>
          <w:b/>
          <w:bCs/>
          <w:highlight w:val="yellow"/>
        </w:rPr>
        <w:t>Bloque de Datos (Contenido):</w:t>
      </w:r>
      <w:r w:rsidRPr="00400B5C">
        <w:rPr>
          <w:highlight w:val="yellow"/>
        </w:rPr>
        <w:t xml:space="preserve"> Fichero con la información. Para su inclusión en el XML, se codifica en Base64</w:t>
      </w:r>
      <w:r w:rsidRPr="00400B5C">
        <w:rPr>
          <w:highlight w:val="yellow"/>
        </w:rPr>
        <w:t>.</w:t>
      </w:r>
    </w:p>
    <w:p w14:paraId="00321DB7" w14:textId="48BD4140" w:rsidR="00DD7425" w:rsidRDefault="00DD7425" w:rsidP="00DD7425">
      <w:pPr>
        <w:pStyle w:val="Prrafodelista"/>
      </w:pPr>
      <w:r w:rsidRPr="00400B5C">
        <w:rPr>
          <w:highlight w:val="yellow"/>
        </w:rPr>
        <w:t>Excepción técnica: Si el contenido original ya es un formato XML, no es necesaria la codificación en Base64.</w:t>
      </w:r>
    </w:p>
    <w:p w14:paraId="1A0E4B7D" w14:textId="713A0AD5" w:rsidR="00DD7425" w:rsidRPr="00400B5C" w:rsidRDefault="00DD7425" w:rsidP="00DD7425">
      <w:pPr>
        <w:pStyle w:val="Prrafodelista"/>
        <w:numPr>
          <w:ilvl w:val="0"/>
          <w:numId w:val="6"/>
        </w:numPr>
        <w:rPr>
          <w:highlight w:val="yellow"/>
        </w:rPr>
      </w:pPr>
      <w:r w:rsidRPr="00400B5C">
        <w:rPr>
          <w:b/>
          <w:bCs/>
          <w:highlight w:val="yellow"/>
        </w:rPr>
        <w:t>Firma</w:t>
      </w:r>
      <w:r w:rsidRPr="00400B5C">
        <w:rPr>
          <w:highlight w:val="yellow"/>
        </w:rPr>
        <w:t>: Avala el contenido y garantiza su integridad.</w:t>
      </w:r>
    </w:p>
    <w:p w14:paraId="69D2A92B" w14:textId="77777777" w:rsidR="00AB7F04" w:rsidRPr="00400B5C" w:rsidRDefault="00DD7425" w:rsidP="00DD7425">
      <w:pPr>
        <w:pStyle w:val="Prrafodelista"/>
        <w:rPr>
          <w:highlight w:val="yellow"/>
        </w:rPr>
      </w:pPr>
      <w:r w:rsidRPr="00400B5C">
        <w:rPr>
          <w:highlight w:val="yellow"/>
        </w:rPr>
        <w:t xml:space="preserve">Sistemas de Firma (Art. 42 y 43 Ley 40/2015): Las organizaciones utilizan </w:t>
      </w:r>
      <w:r w:rsidRPr="00400B5C">
        <w:rPr>
          <w:b/>
          <w:bCs/>
          <w:highlight w:val="yellow"/>
        </w:rPr>
        <w:t>Firma electrónica basada en certificados (Sello electrónico) o sistemas de Código Seguro de Verificación (CSV).</w:t>
      </w:r>
      <w:r w:rsidRPr="00400B5C">
        <w:rPr>
          <w:highlight w:val="yellow"/>
        </w:rPr>
        <w:t xml:space="preserve"> Si se emplea CSV, su valor y regulación se tratan como metadatos integrados en este bloque.</w:t>
      </w:r>
      <w:r w:rsidR="00AB7F04" w:rsidRPr="00400B5C">
        <w:rPr>
          <w:highlight w:val="yellow"/>
        </w:rPr>
        <w:t xml:space="preserve"> </w:t>
      </w:r>
    </w:p>
    <w:p w14:paraId="598CD2D8" w14:textId="7E1AEBBD" w:rsidR="00DD7425" w:rsidRDefault="00AB7F04" w:rsidP="00DD7425">
      <w:pPr>
        <w:pStyle w:val="Prrafodelista"/>
      </w:pPr>
      <w:r w:rsidRPr="00400B5C">
        <w:rPr>
          <w:highlight w:val="yellow"/>
        </w:rPr>
        <w:t xml:space="preserve">Los formatos de firma electrónica admitidos para el intercambio son: </w:t>
      </w:r>
      <w:proofErr w:type="spellStart"/>
      <w:r w:rsidRPr="00400B5C">
        <w:rPr>
          <w:b/>
          <w:bCs/>
          <w:highlight w:val="yellow"/>
        </w:rPr>
        <w:t>XAdES</w:t>
      </w:r>
      <w:proofErr w:type="spellEnd"/>
      <w:r w:rsidRPr="00400B5C">
        <w:rPr>
          <w:b/>
          <w:bCs/>
          <w:highlight w:val="yellow"/>
        </w:rPr>
        <w:t xml:space="preserve"> (para estructuras XML),</w:t>
      </w:r>
      <w:r w:rsidRPr="00400B5C">
        <w:rPr>
          <w:highlight w:val="yellow"/>
        </w:rPr>
        <w:t xml:space="preserve"> </w:t>
      </w:r>
      <w:proofErr w:type="spellStart"/>
      <w:r w:rsidRPr="00400B5C">
        <w:rPr>
          <w:b/>
          <w:bCs/>
          <w:highlight w:val="yellow"/>
        </w:rPr>
        <w:t>CAdES</w:t>
      </w:r>
      <w:proofErr w:type="spellEnd"/>
      <w:r w:rsidRPr="00400B5C">
        <w:rPr>
          <w:b/>
          <w:bCs/>
          <w:highlight w:val="yellow"/>
        </w:rPr>
        <w:t xml:space="preserve"> (para datos binarios) y </w:t>
      </w:r>
      <w:proofErr w:type="spellStart"/>
      <w:r w:rsidRPr="00400B5C">
        <w:rPr>
          <w:b/>
          <w:bCs/>
          <w:highlight w:val="yellow"/>
        </w:rPr>
        <w:t>PAdES</w:t>
      </w:r>
      <w:proofErr w:type="spellEnd"/>
      <w:r w:rsidRPr="00400B5C">
        <w:rPr>
          <w:b/>
          <w:bCs/>
          <w:highlight w:val="yellow"/>
        </w:rPr>
        <w:t xml:space="preserve"> (específico para PDF)</w:t>
      </w:r>
    </w:p>
    <w:p w14:paraId="513D6991" w14:textId="4BB48574" w:rsidR="00B0586D" w:rsidRDefault="00B0586D" w:rsidP="00B0586D">
      <w:pPr>
        <w:pStyle w:val="Prrafodelista"/>
        <w:numPr>
          <w:ilvl w:val="0"/>
          <w:numId w:val="6"/>
        </w:numPr>
      </w:pPr>
      <w:r w:rsidRPr="0087239E">
        <w:rPr>
          <w:b/>
          <w:bCs/>
        </w:rPr>
        <w:t>Metadatos</w:t>
      </w:r>
      <w:r w:rsidRPr="00B0586D">
        <w:t>: Proporcionan contexto, estructura e identificación. Facilitan la preservación temporal y la trazabilidad.</w:t>
      </w:r>
    </w:p>
    <w:p w14:paraId="75E4AEBF" w14:textId="77777777" w:rsidR="00F662A5" w:rsidRDefault="00F662A5" w:rsidP="00F662A5">
      <w:pPr>
        <w:pStyle w:val="Prrafodelista"/>
      </w:pPr>
    </w:p>
    <w:p w14:paraId="31763E37" w14:textId="54E967E2" w:rsidR="00B0586D" w:rsidRDefault="00B0586D" w:rsidP="00F662A5">
      <w:pPr>
        <w:pStyle w:val="Ttulo2"/>
      </w:pPr>
      <w:bookmarkStart w:id="4" w:name="_Toc221527792"/>
      <w:r w:rsidRPr="00AA60CB">
        <w:rPr>
          <w:highlight w:val="yellow"/>
        </w:rPr>
        <w:t>Metadatos Mínimos Obligatorios (</w:t>
      </w:r>
      <w:r w:rsidRPr="00384E7B">
        <w:rPr>
          <w:b/>
          <w:bCs/>
          <w:highlight w:val="yellow"/>
        </w:rPr>
        <w:t>e-EMGDE</w:t>
      </w:r>
      <w:r w:rsidRPr="00AA60CB">
        <w:rPr>
          <w:highlight w:val="yellow"/>
        </w:rPr>
        <w:t>)</w:t>
      </w:r>
      <w:bookmarkEnd w:id="4"/>
    </w:p>
    <w:p w14:paraId="41FBF987" w14:textId="4A1A194D" w:rsidR="00B0586D" w:rsidRDefault="00B0586D" w:rsidP="00B0586D">
      <w:pPr>
        <w:pStyle w:val="Prrafodelista"/>
      </w:pPr>
      <w:r w:rsidRPr="00B0586D">
        <w:t>Definidos en el Anexo I de la NTI, estos metadatos son obligatorios para el intercambio y no son modificables (salvo error u omisión inicial).</w:t>
      </w:r>
    </w:p>
    <w:tbl>
      <w:tblPr>
        <w:tblStyle w:val="Tablaconcuadrcula"/>
        <w:tblW w:w="5000" w:type="pct"/>
        <w:tblLayout w:type="fixed"/>
        <w:tblLook w:val="04A0" w:firstRow="1" w:lastRow="0" w:firstColumn="1" w:lastColumn="0" w:noHBand="0" w:noVBand="1"/>
      </w:tblPr>
      <w:tblGrid>
        <w:gridCol w:w="2123"/>
        <w:gridCol w:w="2123"/>
        <w:gridCol w:w="2124"/>
        <w:gridCol w:w="2124"/>
      </w:tblGrid>
      <w:tr w:rsidR="00CC222D" w:rsidRPr="00AB7F04" w14:paraId="6D2C52C4" w14:textId="77777777" w:rsidTr="008D6E70">
        <w:trPr>
          <w:trHeight w:val="1932"/>
        </w:trPr>
        <w:tc>
          <w:tcPr>
            <w:tcW w:w="1250" w:type="pct"/>
          </w:tcPr>
          <w:p w14:paraId="62FEF77F" w14:textId="1D2EA755" w:rsidR="00CC222D" w:rsidRPr="00AB7F04" w:rsidRDefault="00CC222D" w:rsidP="00CC222D">
            <w:pPr>
              <w:pStyle w:val="Prrafodelista"/>
              <w:ind w:left="0"/>
              <w:jc w:val="center"/>
              <w:rPr>
                <w:b/>
                <w:bCs/>
              </w:rPr>
            </w:pPr>
            <w:r w:rsidRPr="00AB7F04">
              <w:rPr>
                <w:b/>
                <w:bCs/>
              </w:rPr>
              <w:t>Metadato</w:t>
            </w:r>
          </w:p>
        </w:tc>
        <w:tc>
          <w:tcPr>
            <w:tcW w:w="1250" w:type="pct"/>
          </w:tcPr>
          <w:p w14:paraId="6A699F4C" w14:textId="03CA86DA" w:rsidR="00CC222D" w:rsidRPr="00AB7F04" w:rsidRDefault="00CC222D" w:rsidP="00CC222D">
            <w:pPr>
              <w:pStyle w:val="Prrafodelista"/>
              <w:ind w:left="0"/>
              <w:jc w:val="center"/>
              <w:rPr>
                <w:b/>
                <w:bCs/>
              </w:rPr>
            </w:pPr>
            <w:r w:rsidRPr="00AB7F04">
              <w:rPr>
                <w:b/>
                <w:bCs/>
              </w:rPr>
              <w:t>Descripción</w:t>
            </w:r>
          </w:p>
        </w:tc>
        <w:tc>
          <w:tcPr>
            <w:tcW w:w="1250" w:type="pct"/>
          </w:tcPr>
          <w:p w14:paraId="7111107B" w14:textId="11A36CE6" w:rsidR="00CC222D" w:rsidRPr="00AB7F04" w:rsidRDefault="00CC222D" w:rsidP="00CC222D">
            <w:pPr>
              <w:pStyle w:val="Prrafodelista"/>
              <w:ind w:left="0"/>
              <w:jc w:val="center"/>
              <w:rPr>
                <w:b/>
                <w:bCs/>
              </w:rPr>
            </w:pPr>
            <w:r w:rsidRPr="00AB7F04">
              <w:rPr>
                <w:b/>
                <w:bCs/>
              </w:rPr>
              <w:t>Esquema de Valores / Ejemplo</w:t>
            </w:r>
          </w:p>
        </w:tc>
        <w:tc>
          <w:tcPr>
            <w:tcW w:w="1250" w:type="pct"/>
          </w:tcPr>
          <w:p w14:paraId="36B231C6" w14:textId="1B1524DF" w:rsidR="00CC222D" w:rsidRPr="00AB7F04" w:rsidRDefault="00CC222D" w:rsidP="00CC222D">
            <w:pPr>
              <w:pStyle w:val="Prrafodelista"/>
              <w:ind w:left="0"/>
              <w:jc w:val="center"/>
              <w:rPr>
                <w:b/>
                <w:bCs/>
              </w:rPr>
            </w:pPr>
            <w:r w:rsidRPr="00AB7F04">
              <w:rPr>
                <w:b/>
                <w:bCs/>
              </w:rPr>
              <w:t>Repetibilidad</w:t>
            </w:r>
          </w:p>
        </w:tc>
      </w:tr>
      <w:tr w:rsidR="00CC222D" w14:paraId="49ABE1CA" w14:textId="77777777" w:rsidTr="008D6E70">
        <w:trPr>
          <w:trHeight w:val="1932"/>
        </w:trPr>
        <w:tc>
          <w:tcPr>
            <w:tcW w:w="1250" w:type="pct"/>
          </w:tcPr>
          <w:p w14:paraId="5870213D" w14:textId="3AC20534" w:rsidR="00CC222D" w:rsidRPr="00AB7F04" w:rsidRDefault="0095232C" w:rsidP="00B0586D">
            <w:pPr>
              <w:pStyle w:val="Prrafodelista"/>
              <w:ind w:left="0"/>
              <w:rPr>
                <w:b/>
                <w:bCs/>
              </w:rPr>
            </w:pPr>
            <w:r w:rsidRPr="00AB7F04">
              <w:rPr>
                <w:b/>
                <w:bCs/>
              </w:rPr>
              <w:t>Versión NTI</w:t>
            </w:r>
          </w:p>
        </w:tc>
        <w:tc>
          <w:tcPr>
            <w:tcW w:w="1250" w:type="pct"/>
          </w:tcPr>
          <w:p w14:paraId="60B7FAB3" w14:textId="6B05F835" w:rsidR="00CC222D" w:rsidRDefault="00FB31DB" w:rsidP="00B0586D">
            <w:pPr>
              <w:pStyle w:val="Prrafodelista"/>
              <w:ind w:left="0"/>
            </w:pPr>
            <w:r w:rsidRPr="00FB31DB">
              <w:t>Versión de la norma de documento.</w:t>
            </w:r>
          </w:p>
        </w:tc>
        <w:tc>
          <w:tcPr>
            <w:tcW w:w="1250" w:type="pct"/>
          </w:tcPr>
          <w:p w14:paraId="0D198131" w14:textId="224A6181" w:rsidR="00CC222D" w:rsidRDefault="00FB31DB" w:rsidP="00B0586D">
            <w:pPr>
              <w:pStyle w:val="Prrafodelista"/>
              <w:ind w:left="0"/>
            </w:pPr>
            <w:r w:rsidRPr="00FB31DB">
              <w:t>http://administracionelectronica.gob.es/ENI/XSD/v1.0/documento-e</w:t>
            </w:r>
          </w:p>
        </w:tc>
        <w:tc>
          <w:tcPr>
            <w:tcW w:w="1250" w:type="pct"/>
          </w:tcPr>
          <w:p w14:paraId="267DF850" w14:textId="0B044926" w:rsidR="00CC222D" w:rsidRDefault="00FB31DB" w:rsidP="00B0586D">
            <w:pPr>
              <w:pStyle w:val="Prrafodelista"/>
              <w:ind w:left="0"/>
            </w:pPr>
            <w:r w:rsidRPr="00FB31DB">
              <w:t>1</w:t>
            </w:r>
          </w:p>
        </w:tc>
      </w:tr>
      <w:tr w:rsidR="00CC222D" w14:paraId="5F16E81A" w14:textId="77777777" w:rsidTr="00384E7B">
        <w:trPr>
          <w:trHeight w:val="1932"/>
        </w:trPr>
        <w:tc>
          <w:tcPr>
            <w:tcW w:w="1250" w:type="pct"/>
            <w:shd w:val="clear" w:color="auto" w:fill="FFFF00"/>
          </w:tcPr>
          <w:p w14:paraId="6201DC38" w14:textId="33ED84AB" w:rsidR="00CC222D" w:rsidRPr="00AB7F04" w:rsidRDefault="0095232C" w:rsidP="00B0586D">
            <w:pPr>
              <w:pStyle w:val="Prrafodelista"/>
              <w:ind w:left="0"/>
              <w:rPr>
                <w:b/>
                <w:bCs/>
              </w:rPr>
            </w:pPr>
            <w:r w:rsidRPr="00AB7F04">
              <w:rPr>
                <w:b/>
                <w:bCs/>
              </w:rPr>
              <w:t>Identificador</w:t>
            </w:r>
          </w:p>
        </w:tc>
        <w:tc>
          <w:tcPr>
            <w:tcW w:w="1250" w:type="pct"/>
            <w:shd w:val="clear" w:color="auto" w:fill="FFFF00"/>
          </w:tcPr>
          <w:p w14:paraId="7C6A4860" w14:textId="0B3352FF" w:rsidR="00CC222D" w:rsidRDefault="00FB31DB" w:rsidP="00B0586D">
            <w:pPr>
              <w:pStyle w:val="Prrafodelista"/>
              <w:ind w:left="0"/>
            </w:pPr>
            <w:r w:rsidRPr="00FB31DB">
              <w:t>ID normalizado único.</w:t>
            </w:r>
          </w:p>
        </w:tc>
        <w:tc>
          <w:tcPr>
            <w:tcW w:w="1250" w:type="pct"/>
            <w:shd w:val="clear" w:color="auto" w:fill="FFFF00"/>
          </w:tcPr>
          <w:p w14:paraId="14678AA1" w14:textId="314186B9" w:rsidR="00CC222D" w:rsidRDefault="00FB31DB" w:rsidP="00B0586D">
            <w:pPr>
              <w:pStyle w:val="Prrafodelista"/>
              <w:ind w:left="0"/>
            </w:pPr>
            <w:r w:rsidRPr="00FB31DB">
              <w:t>ES_&lt;Órgano&gt;_&lt;AAAA&gt;_&lt;</w:t>
            </w:r>
            <w:proofErr w:type="spellStart"/>
            <w:r w:rsidRPr="00FB31DB">
              <w:t>ID_específico</w:t>
            </w:r>
            <w:proofErr w:type="spellEnd"/>
            <w:r w:rsidRPr="00FB31DB">
              <w:t>&gt; (</w:t>
            </w:r>
            <w:proofErr w:type="spellStart"/>
            <w:r w:rsidRPr="00FB31DB">
              <w:t>ID_específico</w:t>
            </w:r>
            <w:proofErr w:type="spellEnd"/>
            <w:r w:rsidRPr="00FB31DB">
              <w:t xml:space="preserve"> de 30 caracteres)</w:t>
            </w:r>
          </w:p>
        </w:tc>
        <w:tc>
          <w:tcPr>
            <w:tcW w:w="1250" w:type="pct"/>
            <w:shd w:val="clear" w:color="auto" w:fill="FFFF00"/>
          </w:tcPr>
          <w:p w14:paraId="633E10C9" w14:textId="3F9BF3D1" w:rsidR="00CC222D" w:rsidRDefault="00FB31DB" w:rsidP="00B0586D">
            <w:pPr>
              <w:pStyle w:val="Prrafodelista"/>
              <w:ind w:left="0"/>
            </w:pPr>
            <w:r w:rsidRPr="00FB31DB">
              <w:t>1</w:t>
            </w:r>
          </w:p>
        </w:tc>
      </w:tr>
      <w:tr w:rsidR="00CC222D" w14:paraId="711074A9" w14:textId="77777777" w:rsidTr="00384E7B">
        <w:trPr>
          <w:trHeight w:val="1932"/>
        </w:trPr>
        <w:tc>
          <w:tcPr>
            <w:tcW w:w="1250" w:type="pct"/>
            <w:shd w:val="clear" w:color="auto" w:fill="FFFF00"/>
          </w:tcPr>
          <w:p w14:paraId="0CD31BAB" w14:textId="259920BE" w:rsidR="00CC222D" w:rsidRPr="00AB7F04" w:rsidRDefault="0095232C" w:rsidP="00B0586D">
            <w:pPr>
              <w:pStyle w:val="Prrafodelista"/>
              <w:ind w:left="0"/>
              <w:rPr>
                <w:b/>
                <w:bCs/>
              </w:rPr>
            </w:pPr>
            <w:r w:rsidRPr="00AB7F04">
              <w:rPr>
                <w:b/>
                <w:bCs/>
              </w:rPr>
              <w:t>Órgano</w:t>
            </w:r>
          </w:p>
        </w:tc>
        <w:tc>
          <w:tcPr>
            <w:tcW w:w="1250" w:type="pct"/>
            <w:shd w:val="clear" w:color="auto" w:fill="FFFF00"/>
          </w:tcPr>
          <w:p w14:paraId="19D92A04" w14:textId="0C5A2401" w:rsidR="00CC222D" w:rsidRDefault="00FB31DB" w:rsidP="00B0586D">
            <w:pPr>
              <w:pStyle w:val="Prrafodelista"/>
              <w:ind w:left="0"/>
            </w:pPr>
            <w:r w:rsidRPr="00FB31DB">
              <w:t>Código DIR3 del emisor.</w:t>
            </w:r>
          </w:p>
        </w:tc>
        <w:tc>
          <w:tcPr>
            <w:tcW w:w="1250" w:type="pct"/>
            <w:shd w:val="clear" w:color="auto" w:fill="FFFF00"/>
          </w:tcPr>
          <w:p w14:paraId="3B2DAC74" w14:textId="27E46794" w:rsidR="00CC222D" w:rsidRDefault="00FB31DB" w:rsidP="00B0586D">
            <w:pPr>
              <w:pStyle w:val="Prrafodelista"/>
              <w:ind w:left="0"/>
            </w:pPr>
            <w:r w:rsidRPr="00FB31DB">
              <w:t>Código alfanumérico único (ej. E00010207).</w:t>
            </w:r>
          </w:p>
        </w:tc>
        <w:tc>
          <w:tcPr>
            <w:tcW w:w="1250" w:type="pct"/>
            <w:shd w:val="clear" w:color="auto" w:fill="FFFF00"/>
          </w:tcPr>
          <w:p w14:paraId="623D9F2D" w14:textId="61BC9710" w:rsidR="00CC222D" w:rsidRDefault="00FB31DB" w:rsidP="00B0586D">
            <w:pPr>
              <w:pStyle w:val="Prrafodelista"/>
              <w:ind w:left="0"/>
            </w:pPr>
            <w:proofErr w:type="gramStart"/>
            <w:r w:rsidRPr="00FB31DB">
              <w:t>1:N</w:t>
            </w:r>
            <w:proofErr w:type="gramEnd"/>
          </w:p>
        </w:tc>
      </w:tr>
      <w:tr w:rsidR="00CC222D" w14:paraId="65811D09" w14:textId="77777777" w:rsidTr="008D6E70">
        <w:trPr>
          <w:trHeight w:val="1932"/>
        </w:trPr>
        <w:tc>
          <w:tcPr>
            <w:tcW w:w="1250" w:type="pct"/>
          </w:tcPr>
          <w:p w14:paraId="1F586624" w14:textId="700751B9" w:rsidR="00CC222D" w:rsidRPr="00AB7F04" w:rsidRDefault="0095232C" w:rsidP="00B0586D">
            <w:pPr>
              <w:pStyle w:val="Prrafodelista"/>
              <w:ind w:left="0"/>
              <w:rPr>
                <w:b/>
                <w:bCs/>
              </w:rPr>
            </w:pPr>
            <w:r w:rsidRPr="00AB7F04">
              <w:rPr>
                <w:b/>
                <w:bCs/>
              </w:rPr>
              <w:t>Fecha de Captura</w:t>
            </w:r>
          </w:p>
        </w:tc>
        <w:tc>
          <w:tcPr>
            <w:tcW w:w="1250" w:type="pct"/>
          </w:tcPr>
          <w:p w14:paraId="1D53388A" w14:textId="2442888D" w:rsidR="00CC222D" w:rsidRDefault="00FB31DB" w:rsidP="00B0586D">
            <w:pPr>
              <w:pStyle w:val="Prrafodelista"/>
              <w:ind w:left="0"/>
            </w:pPr>
            <w:r w:rsidRPr="00FB31DB">
              <w:t>Alta en el sistema de gestión.</w:t>
            </w:r>
          </w:p>
        </w:tc>
        <w:tc>
          <w:tcPr>
            <w:tcW w:w="1250" w:type="pct"/>
          </w:tcPr>
          <w:p w14:paraId="1CACC839" w14:textId="27A9B833" w:rsidR="00CC222D" w:rsidRDefault="00FB31DB" w:rsidP="00B0586D">
            <w:pPr>
              <w:pStyle w:val="Prrafodelista"/>
              <w:ind w:left="0"/>
            </w:pPr>
            <w:r w:rsidRPr="00FB31DB">
              <w:t>ISO 8601: AAAAMMDD T HH:</w:t>
            </w:r>
            <w:proofErr w:type="gramStart"/>
            <w:r w:rsidRPr="00FB31DB">
              <w:t>MM:SS</w:t>
            </w:r>
            <w:proofErr w:type="gramEnd"/>
          </w:p>
        </w:tc>
        <w:tc>
          <w:tcPr>
            <w:tcW w:w="1250" w:type="pct"/>
          </w:tcPr>
          <w:p w14:paraId="7390647E" w14:textId="77777777" w:rsidR="00FB31DB" w:rsidRDefault="00FB31DB" w:rsidP="00FB31DB">
            <w:pPr>
              <w:pStyle w:val="Prrafodelista"/>
            </w:pPr>
            <w:r>
              <w:tab/>
            </w:r>
          </w:p>
          <w:p w14:paraId="2B89EE20" w14:textId="056C3455" w:rsidR="00CC222D" w:rsidRDefault="00FB31DB" w:rsidP="00FB31DB">
            <w:pPr>
              <w:pStyle w:val="Prrafodelista"/>
              <w:ind w:left="0"/>
            </w:pPr>
            <w:r>
              <w:t>1</w:t>
            </w:r>
          </w:p>
        </w:tc>
      </w:tr>
      <w:tr w:rsidR="00CC222D" w14:paraId="78534334" w14:textId="77777777" w:rsidTr="008D6E70">
        <w:trPr>
          <w:trHeight w:val="1932"/>
        </w:trPr>
        <w:tc>
          <w:tcPr>
            <w:tcW w:w="1250" w:type="pct"/>
          </w:tcPr>
          <w:p w14:paraId="2543D330" w14:textId="415235F9" w:rsidR="00CC222D" w:rsidRPr="00AB7F04" w:rsidRDefault="0095232C" w:rsidP="00B0586D">
            <w:pPr>
              <w:pStyle w:val="Prrafodelista"/>
              <w:ind w:left="0"/>
              <w:rPr>
                <w:b/>
                <w:bCs/>
              </w:rPr>
            </w:pPr>
            <w:r w:rsidRPr="00AB7F04">
              <w:rPr>
                <w:b/>
                <w:bCs/>
              </w:rPr>
              <w:t>Origen</w:t>
            </w:r>
          </w:p>
        </w:tc>
        <w:tc>
          <w:tcPr>
            <w:tcW w:w="1250" w:type="pct"/>
          </w:tcPr>
          <w:p w14:paraId="3609A803" w14:textId="1540C8C8" w:rsidR="00CC222D" w:rsidRDefault="00FB31DB" w:rsidP="00B0586D">
            <w:pPr>
              <w:pStyle w:val="Prrafodelista"/>
              <w:ind w:left="0"/>
            </w:pPr>
            <w:r w:rsidRPr="00FB31DB">
              <w:t>Quién generó el contenido.</w:t>
            </w:r>
          </w:p>
        </w:tc>
        <w:tc>
          <w:tcPr>
            <w:tcW w:w="1250" w:type="pct"/>
          </w:tcPr>
          <w:p w14:paraId="2B7F512F" w14:textId="45627276" w:rsidR="00CC222D" w:rsidRDefault="00FB31DB" w:rsidP="00B0586D">
            <w:pPr>
              <w:pStyle w:val="Prrafodelista"/>
              <w:ind w:left="0"/>
            </w:pPr>
            <w:r w:rsidRPr="00FB31DB">
              <w:t>0 (Ciudadano) / 1 (Administración).</w:t>
            </w:r>
          </w:p>
        </w:tc>
        <w:tc>
          <w:tcPr>
            <w:tcW w:w="1250" w:type="pct"/>
          </w:tcPr>
          <w:p w14:paraId="4E5A4699" w14:textId="4D50B4F6" w:rsidR="00CC222D" w:rsidRDefault="00FB31DB" w:rsidP="00B0586D">
            <w:pPr>
              <w:pStyle w:val="Prrafodelista"/>
              <w:ind w:left="0"/>
            </w:pPr>
            <w:r w:rsidRPr="00FB31DB">
              <w:t>1</w:t>
            </w:r>
          </w:p>
        </w:tc>
      </w:tr>
      <w:tr w:rsidR="00CC222D" w14:paraId="292630EC" w14:textId="77777777" w:rsidTr="00384E7B">
        <w:trPr>
          <w:trHeight w:val="1932"/>
        </w:trPr>
        <w:tc>
          <w:tcPr>
            <w:tcW w:w="1250" w:type="pct"/>
            <w:shd w:val="clear" w:color="auto" w:fill="FFFF00"/>
          </w:tcPr>
          <w:p w14:paraId="2D462A1D" w14:textId="286A089E" w:rsidR="00CC222D" w:rsidRPr="00AB7F04" w:rsidRDefault="0095232C" w:rsidP="00B0586D">
            <w:pPr>
              <w:pStyle w:val="Prrafodelista"/>
              <w:ind w:left="0"/>
              <w:rPr>
                <w:b/>
                <w:bCs/>
              </w:rPr>
            </w:pPr>
            <w:r w:rsidRPr="00AB7F04">
              <w:rPr>
                <w:b/>
                <w:bCs/>
              </w:rPr>
              <w:t>Estado de Elaboración</w:t>
            </w:r>
          </w:p>
        </w:tc>
        <w:tc>
          <w:tcPr>
            <w:tcW w:w="1250" w:type="pct"/>
            <w:shd w:val="clear" w:color="auto" w:fill="FFFF00"/>
          </w:tcPr>
          <w:p w14:paraId="77CA56B3" w14:textId="5E901480" w:rsidR="00CC222D" w:rsidRDefault="00FB31DB" w:rsidP="00B0586D">
            <w:pPr>
              <w:pStyle w:val="Prrafodelista"/>
              <w:ind w:left="0"/>
            </w:pPr>
            <w:r w:rsidRPr="00FB31DB">
              <w:t>Naturaleza (Original/Copia).</w:t>
            </w:r>
          </w:p>
        </w:tc>
        <w:tc>
          <w:tcPr>
            <w:tcW w:w="1250" w:type="pct"/>
            <w:shd w:val="clear" w:color="auto" w:fill="FFFF00"/>
          </w:tcPr>
          <w:p w14:paraId="286D0BC3" w14:textId="5B5343E3" w:rsidR="00CC222D" w:rsidRDefault="00FB31DB" w:rsidP="00B0586D">
            <w:pPr>
              <w:pStyle w:val="Prrafodelista"/>
              <w:ind w:left="0"/>
            </w:pPr>
            <w:r w:rsidRPr="00FB31DB">
              <w:t>Original, Copia electrónica auténtica, etc.</w:t>
            </w:r>
          </w:p>
        </w:tc>
        <w:tc>
          <w:tcPr>
            <w:tcW w:w="1250" w:type="pct"/>
            <w:shd w:val="clear" w:color="auto" w:fill="FFFF00"/>
          </w:tcPr>
          <w:p w14:paraId="7A68FFB1" w14:textId="7B9C1532" w:rsidR="00CC222D" w:rsidRDefault="00FB31DB" w:rsidP="00B0586D">
            <w:pPr>
              <w:pStyle w:val="Prrafodelista"/>
              <w:ind w:left="0"/>
            </w:pPr>
            <w:r w:rsidRPr="00FB31DB">
              <w:t>1</w:t>
            </w:r>
          </w:p>
        </w:tc>
      </w:tr>
      <w:tr w:rsidR="00CC222D" w14:paraId="7FA98BC6" w14:textId="77777777" w:rsidTr="008D6E70">
        <w:trPr>
          <w:trHeight w:val="1932"/>
        </w:trPr>
        <w:tc>
          <w:tcPr>
            <w:tcW w:w="1250" w:type="pct"/>
          </w:tcPr>
          <w:p w14:paraId="392F9EE2" w14:textId="4071B5CA" w:rsidR="00CC222D" w:rsidRPr="00AB7F04" w:rsidRDefault="0095232C" w:rsidP="00B0586D">
            <w:pPr>
              <w:pStyle w:val="Prrafodelista"/>
              <w:ind w:left="0"/>
              <w:rPr>
                <w:b/>
                <w:bCs/>
              </w:rPr>
            </w:pPr>
            <w:r w:rsidRPr="00AB7F04">
              <w:rPr>
                <w:b/>
                <w:bCs/>
              </w:rPr>
              <w:t>Nombre de Formato</w:t>
            </w:r>
          </w:p>
        </w:tc>
        <w:tc>
          <w:tcPr>
            <w:tcW w:w="1250" w:type="pct"/>
          </w:tcPr>
          <w:p w14:paraId="72EF1313" w14:textId="3D12081A" w:rsidR="00CC222D" w:rsidRDefault="00FB31DB" w:rsidP="00B0586D">
            <w:pPr>
              <w:pStyle w:val="Prrafodelista"/>
              <w:ind w:left="0"/>
            </w:pPr>
            <w:r w:rsidRPr="00FB31DB">
              <w:t>Formato lógico del fichero.</w:t>
            </w:r>
          </w:p>
        </w:tc>
        <w:tc>
          <w:tcPr>
            <w:tcW w:w="1250" w:type="pct"/>
          </w:tcPr>
          <w:p w14:paraId="58BBAAF9" w14:textId="0D6887BA" w:rsidR="00CC222D" w:rsidRDefault="00FB31DB" w:rsidP="00B0586D">
            <w:pPr>
              <w:pStyle w:val="Prrafodelista"/>
              <w:ind w:left="0"/>
            </w:pPr>
            <w:r w:rsidRPr="00FB31DB">
              <w:t>Extraído del Catálogo de Estándares (ej. PDF/A).</w:t>
            </w:r>
          </w:p>
        </w:tc>
        <w:tc>
          <w:tcPr>
            <w:tcW w:w="1250" w:type="pct"/>
          </w:tcPr>
          <w:p w14:paraId="329B0207" w14:textId="683F01BC" w:rsidR="00CC222D" w:rsidRDefault="00FB31DB" w:rsidP="00B0586D">
            <w:pPr>
              <w:pStyle w:val="Prrafodelista"/>
              <w:ind w:left="0"/>
            </w:pPr>
            <w:r w:rsidRPr="00FB31DB">
              <w:t>1</w:t>
            </w:r>
          </w:p>
        </w:tc>
      </w:tr>
      <w:tr w:rsidR="00CC222D" w14:paraId="41419868" w14:textId="77777777" w:rsidTr="00384E7B">
        <w:trPr>
          <w:trHeight w:val="1932"/>
        </w:trPr>
        <w:tc>
          <w:tcPr>
            <w:tcW w:w="1250" w:type="pct"/>
            <w:shd w:val="clear" w:color="auto" w:fill="FFFF00"/>
          </w:tcPr>
          <w:p w14:paraId="266424D7" w14:textId="26817D9B" w:rsidR="00CC222D" w:rsidRPr="00AB7F04" w:rsidRDefault="0095232C" w:rsidP="00B0586D">
            <w:pPr>
              <w:pStyle w:val="Prrafodelista"/>
              <w:ind w:left="0"/>
              <w:rPr>
                <w:b/>
                <w:bCs/>
              </w:rPr>
            </w:pPr>
            <w:r w:rsidRPr="00AB7F04">
              <w:rPr>
                <w:b/>
                <w:bCs/>
              </w:rPr>
              <w:t>Tipo Documental</w:t>
            </w:r>
          </w:p>
        </w:tc>
        <w:tc>
          <w:tcPr>
            <w:tcW w:w="1250" w:type="pct"/>
            <w:shd w:val="clear" w:color="auto" w:fill="FFFF00"/>
          </w:tcPr>
          <w:p w14:paraId="6AE613F6" w14:textId="5ACA9295" w:rsidR="00CC222D" w:rsidRDefault="00FB31DB" w:rsidP="00B0586D">
            <w:pPr>
              <w:pStyle w:val="Prrafodelista"/>
              <w:ind w:left="0"/>
            </w:pPr>
            <w:r w:rsidRPr="00FB31DB">
              <w:t>Categoría administrativa.</w:t>
            </w:r>
          </w:p>
        </w:tc>
        <w:tc>
          <w:tcPr>
            <w:tcW w:w="1250" w:type="pct"/>
            <w:shd w:val="clear" w:color="auto" w:fill="FFFF00"/>
          </w:tcPr>
          <w:p w14:paraId="1798A5A0" w14:textId="5284FBB2" w:rsidR="00CC222D" w:rsidRDefault="00FB31DB" w:rsidP="00B0586D">
            <w:pPr>
              <w:pStyle w:val="Prrafodelista"/>
              <w:ind w:left="0"/>
            </w:pPr>
            <w:r w:rsidRPr="00FB31DB">
              <w:t>Resolución, Informe, Acta, Solicitud, etc.</w:t>
            </w:r>
          </w:p>
        </w:tc>
        <w:tc>
          <w:tcPr>
            <w:tcW w:w="1250" w:type="pct"/>
            <w:shd w:val="clear" w:color="auto" w:fill="FFFF00"/>
          </w:tcPr>
          <w:p w14:paraId="5616BC45" w14:textId="2A809B1D" w:rsidR="00CC222D" w:rsidRDefault="00FB31DB" w:rsidP="00B0586D">
            <w:pPr>
              <w:pStyle w:val="Prrafodelista"/>
              <w:ind w:left="0"/>
            </w:pPr>
            <w:r w:rsidRPr="00FB31DB">
              <w:t>1</w:t>
            </w:r>
          </w:p>
        </w:tc>
      </w:tr>
      <w:tr w:rsidR="00CC222D" w14:paraId="7700E272" w14:textId="77777777" w:rsidTr="008D6E70">
        <w:trPr>
          <w:trHeight w:val="1932"/>
        </w:trPr>
        <w:tc>
          <w:tcPr>
            <w:tcW w:w="1250" w:type="pct"/>
          </w:tcPr>
          <w:p w14:paraId="0C80927E" w14:textId="4AE53FDC" w:rsidR="00CC222D" w:rsidRPr="00AB7F04" w:rsidRDefault="0095232C" w:rsidP="00B0586D">
            <w:pPr>
              <w:pStyle w:val="Prrafodelista"/>
              <w:ind w:left="0"/>
              <w:rPr>
                <w:b/>
                <w:bCs/>
              </w:rPr>
            </w:pPr>
            <w:r w:rsidRPr="00AB7F04">
              <w:rPr>
                <w:b/>
                <w:bCs/>
              </w:rPr>
              <w:t>Tipo de Firma</w:t>
            </w:r>
          </w:p>
        </w:tc>
        <w:tc>
          <w:tcPr>
            <w:tcW w:w="1250" w:type="pct"/>
          </w:tcPr>
          <w:p w14:paraId="3B80B4E7" w14:textId="6177EC50" w:rsidR="00CC222D" w:rsidRDefault="00FB31DB" w:rsidP="00B0586D">
            <w:pPr>
              <w:pStyle w:val="Prrafodelista"/>
              <w:ind w:left="0"/>
            </w:pPr>
            <w:r w:rsidRPr="00FB31DB">
              <w:t>Sistema que avala el documento.</w:t>
            </w:r>
          </w:p>
        </w:tc>
        <w:tc>
          <w:tcPr>
            <w:tcW w:w="1250" w:type="pct"/>
          </w:tcPr>
          <w:p w14:paraId="53A8E68C" w14:textId="24E0F8E8" w:rsidR="00CC222D" w:rsidRDefault="00FB31DB" w:rsidP="00B0586D">
            <w:pPr>
              <w:pStyle w:val="Prrafodelista"/>
              <w:ind w:left="0"/>
            </w:pPr>
            <w:r w:rsidRPr="00FB31DB">
              <w:t xml:space="preserve">CSV, </w:t>
            </w:r>
            <w:proofErr w:type="spellStart"/>
            <w:r w:rsidRPr="00FB31DB">
              <w:t>XAdES</w:t>
            </w:r>
            <w:proofErr w:type="spellEnd"/>
            <w:r w:rsidRPr="00FB31DB">
              <w:t xml:space="preserve">, </w:t>
            </w:r>
            <w:proofErr w:type="spellStart"/>
            <w:r w:rsidRPr="00FB31DB">
              <w:t>CAdES</w:t>
            </w:r>
            <w:proofErr w:type="spellEnd"/>
            <w:r w:rsidRPr="00FB31DB">
              <w:t xml:space="preserve">, </w:t>
            </w:r>
            <w:proofErr w:type="spellStart"/>
            <w:r w:rsidRPr="00FB31DB">
              <w:t>PAdES</w:t>
            </w:r>
            <w:proofErr w:type="spellEnd"/>
            <w:r w:rsidRPr="00FB31DB">
              <w:t>.</w:t>
            </w:r>
          </w:p>
        </w:tc>
        <w:tc>
          <w:tcPr>
            <w:tcW w:w="1250" w:type="pct"/>
          </w:tcPr>
          <w:p w14:paraId="11A16087" w14:textId="423A36FD" w:rsidR="00CC222D" w:rsidRDefault="00FB31DB" w:rsidP="00B0586D">
            <w:pPr>
              <w:pStyle w:val="Prrafodelista"/>
              <w:ind w:left="0"/>
            </w:pPr>
            <w:proofErr w:type="gramStart"/>
            <w:r w:rsidRPr="00FB31DB">
              <w:t>1:N</w:t>
            </w:r>
            <w:proofErr w:type="gramEnd"/>
          </w:p>
        </w:tc>
      </w:tr>
    </w:tbl>
    <w:p w14:paraId="2BB814B8" w14:textId="77777777" w:rsidR="00B0586D" w:rsidRDefault="00B0586D" w:rsidP="00B0586D">
      <w:pPr>
        <w:pStyle w:val="Prrafodelista"/>
      </w:pPr>
    </w:p>
    <w:p w14:paraId="4CF8122C" w14:textId="510EAEDF" w:rsidR="008D6E70" w:rsidRDefault="008D6E70" w:rsidP="00F662A5">
      <w:pPr>
        <w:pStyle w:val="Ttulo2"/>
      </w:pPr>
      <w:bookmarkStart w:id="5" w:name="_Toc221527793"/>
      <w:r w:rsidRPr="00384E7B">
        <w:rPr>
          <w:highlight w:val="yellow"/>
        </w:rPr>
        <w:t>Desglose de las Normas Técnicas de Interoperabilidad (NTI)</w:t>
      </w:r>
      <w:bookmarkEnd w:id="5"/>
    </w:p>
    <w:p w14:paraId="251F59BC" w14:textId="4CC4CA92" w:rsidR="008D6E70" w:rsidRDefault="008D6E70" w:rsidP="008D6E70">
      <w:pPr>
        <w:pStyle w:val="Prrafodelista"/>
      </w:pPr>
      <w:r w:rsidRPr="00384E7B">
        <w:rPr>
          <w:highlight w:val="yellow"/>
        </w:rPr>
        <w:t xml:space="preserve">El RD 4/2010 mandata el desarrollo de 11 </w:t>
      </w:r>
      <w:proofErr w:type="spellStart"/>
      <w:r w:rsidRPr="00384E7B">
        <w:rPr>
          <w:highlight w:val="yellow"/>
        </w:rPr>
        <w:t>NTIs</w:t>
      </w:r>
      <w:proofErr w:type="spellEnd"/>
      <w:r w:rsidRPr="00384E7B">
        <w:rPr>
          <w:highlight w:val="yellow"/>
        </w:rPr>
        <w:t xml:space="preserve"> básicas (más la de Declaración de Conformidad):</w:t>
      </w:r>
    </w:p>
    <w:p w14:paraId="62382A7D" w14:textId="143211AE" w:rsidR="008D6E70" w:rsidRPr="00384E7B" w:rsidRDefault="008D6E70" w:rsidP="008D6E70">
      <w:pPr>
        <w:pStyle w:val="Prrafodelista"/>
        <w:numPr>
          <w:ilvl w:val="0"/>
          <w:numId w:val="8"/>
        </w:numPr>
        <w:rPr>
          <w:b/>
          <w:bCs/>
          <w:highlight w:val="yellow"/>
        </w:rPr>
      </w:pPr>
      <w:r w:rsidRPr="00384E7B">
        <w:rPr>
          <w:b/>
          <w:bCs/>
          <w:highlight w:val="yellow"/>
        </w:rPr>
        <w:t>Catálogo de estándares</w:t>
      </w:r>
      <w:r w:rsidRPr="00384E7B">
        <w:rPr>
          <w:highlight w:val="yellow"/>
        </w:rPr>
        <w:t>: Formatos y protocolos que aseguran la independencia tecnológica.</w:t>
      </w:r>
      <w:r w:rsidR="00950117" w:rsidRPr="00384E7B">
        <w:rPr>
          <w:highlight w:val="yellow"/>
        </w:rPr>
        <w:t xml:space="preserve"> </w:t>
      </w:r>
      <w:r w:rsidR="00C756FE" w:rsidRPr="00384E7B">
        <w:rPr>
          <w:highlight w:val="yellow"/>
        </w:rPr>
        <w:t xml:space="preserve">Se priorizan los estándares abiertos. Formatos clave: </w:t>
      </w:r>
      <w:r w:rsidR="00C756FE" w:rsidRPr="00384E7B">
        <w:rPr>
          <w:b/>
          <w:bCs/>
          <w:highlight w:val="yellow"/>
        </w:rPr>
        <w:t>PDF/A (para preservación a largo plazo), XML (para datos estructurados), ODF y OOXML (para documentos de oficina).</w:t>
      </w:r>
    </w:p>
    <w:p w14:paraId="6B4163EB" w14:textId="515F16E1" w:rsidR="008D6E70" w:rsidRDefault="00860386" w:rsidP="008D6E70">
      <w:pPr>
        <w:pStyle w:val="Prrafodelista"/>
        <w:numPr>
          <w:ilvl w:val="0"/>
          <w:numId w:val="8"/>
        </w:numPr>
      </w:pPr>
      <w:r w:rsidRPr="0087239E">
        <w:rPr>
          <w:b/>
          <w:bCs/>
        </w:rPr>
        <w:t>Documento electrónico</w:t>
      </w:r>
      <w:r w:rsidRPr="00860386">
        <w:t>: Estructura, componentes y metadatos del objeto digital.</w:t>
      </w:r>
    </w:p>
    <w:p w14:paraId="66E14245" w14:textId="08719198" w:rsidR="00860386" w:rsidRDefault="00860386" w:rsidP="008D6E70">
      <w:pPr>
        <w:pStyle w:val="Prrafodelista"/>
        <w:numPr>
          <w:ilvl w:val="0"/>
          <w:numId w:val="8"/>
        </w:numPr>
      </w:pPr>
      <w:r w:rsidRPr="0087239E">
        <w:rPr>
          <w:b/>
          <w:bCs/>
        </w:rPr>
        <w:t>Digitalización de documentos</w:t>
      </w:r>
      <w:r w:rsidRPr="00860386">
        <w:t>: Requisitos para transformar papel en electrónico con validez legal.</w:t>
      </w:r>
    </w:p>
    <w:p w14:paraId="6205B8DA" w14:textId="731A653A" w:rsidR="00860386" w:rsidRPr="00384E7B" w:rsidRDefault="00860386" w:rsidP="008D6E70">
      <w:pPr>
        <w:pStyle w:val="Prrafodelista"/>
        <w:numPr>
          <w:ilvl w:val="0"/>
          <w:numId w:val="8"/>
        </w:numPr>
        <w:rPr>
          <w:highlight w:val="yellow"/>
        </w:rPr>
      </w:pPr>
      <w:r w:rsidRPr="00384E7B">
        <w:rPr>
          <w:b/>
          <w:bCs/>
          <w:highlight w:val="yellow"/>
        </w:rPr>
        <w:t>Expediente electrónico</w:t>
      </w:r>
      <w:r w:rsidRPr="00384E7B">
        <w:rPr>
          <w:highlight w:val="yellow"/>
        </w:rPr>
        <w:t>: Estructura de agrupación de documentos y foliado.</w:t>
      </w:r>
      <w:r w:rsidR="008A251D">
        <w:rPr>
          <w:highlight w:val="yellow"/>
        </w:rPr>
        <w:t xml:space="preserve"> Se compone de documentos electrónicos, índice electrónico, firma del índice y metadatos.</w:t>
      </w:r>
    </w:p>
    <w:p w14:paraId="25D141C3" w14:textId="1F9C3BF7" w:rsidR="00860386" w:rsidRDefault="00860386" w:rsidP="008D6E70">
      <w:pPr>
        <w:pStyle w:val="Prrafodelista"/>
        <w:numPr>
          <w:ilvl w:val="0"/>
          <w:numId w:val="8"/>
        </w:numPr>
      </w:pPr>
      <w:r w:rsidRPr="0087239E">
        <w:rPr>
          <w:b/>
          <w:bCs/>
        </w:rPr>
        <w:t>Política de firma y certificados</w:t>
      </w:r>
      <w:r w:rsidRPr="00860386">
        <w:t>: Reglas para la creación, validación y formatos de firma.</w:t>
      </w:r>
    </w:p>
    <w:p w14:paraId="0CD2220F" w14:textId="40A63ED1" w:rsidR="00860386" w:rsidRDefault="00860386" w:rsidP="008D6E70">
      <w:pPr>
        <w:pStyle w:val="Prrafodelista"/>
        <w:numPr>
          <w:ilvl w:val="0"/>
          <w:numId w:val="8"/>
        </w:numPr>
      </w:pPr>
      <w:r w:rsidRPr="0087239E">
        <w:rPr>
          <w:b/>
          <w:bCs/>
        </w:rPr>
        <w:t>Protocolos de intermediación de datos</w:t>
      </w:r>
      <w:r w:rsidRPr="00860386">
        <w:t>: Normas para el intercambio de datos sin requerir papel al ciudadano.</w:t>
      </w:r>
    </w:p>
    <w:p w14:paraId="48ED1D7D" w14:textId="3D9154EF" w:rsidR="00860386" w:rsidRDefault="00860386" w:rsidP="008D6E70">
      <w:pPr>
        <w:pStyle w:val="Prrafodelista"/>
        <w:numPr>
          <w:ilvl w:val="0"/>
          <w:numId w:val="8"/>
        </w:numPr>
      </w:pPr>
      <w:r w:rsidRPr="0087239E">
        <w:rPr>
          <w:b/>
          <w:bCs/>
        </w:rPr>
        <w:t>Relación de modelos de datos</w:t>
      </w:r>
      <w:r w:rsidRPr="00860386">
        <w:t>: Definición de semántica común para el intercambio.</w:t>
      </w:r>
    </w:p>
    <w:p w14:paraId="02EA048A" w14:textId="065973FA" w:rsidR="00860386" w:rsidRDefault="00860386" w:rsidP="008D6E70">
      <w:pPr>
        <w:pStyle w:val="Prrafodelista"/>
        <w:numPr>
          <w:ilvl w:val="0"/>
          <w:numId w:val="8"/>
        </w:numPr>
      </w:pPr>
      <w:r w:rsidRPr="0087239E">
        <w:rPr>
          <w:b/>
          <w:bCs/>
        </w:rPr>
        <w:t>Política de gestión de documentos electrónicos</w:t>
      </w:r>
      <w:r w:rsidRPr="00860386">
        <w:t>: Ciclo de vida y conservación temporal.</w:t>
      </w:r>
    </w:p>
    <w:p w14:paraId="43D1E9B6" w14:textId="018ACB0C" w:rsidR="00860386" w:rsidRDefault="00860386" w:rsidP="008D6E70">
      <w:pPr>
        <w:pStyle w:val="Prrafodelista"/>
        <w:numPr>
          <w:ilvl w:val="0"/>
          <w:numId w:val="8"/>
        </w:numPr>
      </w:pPr>
      <w:r w:rsidRPr="0087239E">
        <w:rPr>
          <w:b/>
          <w:bCs/>
        </w:rPr>
        <w:t>Conexión a la Red SARA</w:t>
      </w:r>
      <w:r w:rsidRPr="00860386">
        <w:t>: Requisitos técnicos de enlace a la red privada de las AA.PP.</w:t>
      </w:r>
    </w:p>
    <w:p w14:paraId="3A11FEAF" w14:textId="3C2C01A1" w:rsidR="00860386" w:rsidRDefault="00860386" w:rsidP="008D6E70">
      <w:pPr>
        <w:pStyle w:val="Prrafodelista"/>
        <w:numPr>
          <w:ilvl w:val="0"/>
          <w:numId w:val="8"/>
        </w:numPr>
      </w:pPr>
      <w:r w:rsidRPr="0087239E">
        <w:rPr>
          <w:b/>
          <w:bCs/>
        </w:rPr>
        <w:t>Copiado auténtico y conversión</w:t>
      </w:r>
      <w:r w:rsidRPr="00860386">
        <w:t>: Procedimientos para generar copias válidas.</w:t>
      </w:r>
    </w:p>
    <w:p w14:paraId="6E69C922" w14:textId="38E2E454" w:rsidR="00860386" w:rsidRDefault="00860386" w:rsidP="008D6E70">
      <w:pPr>
        <w:pStyle w:val="Prrafodelista"/>
        <w:numPr>
          <w:ilvl w:val="0"/>
          <w:numId w:val="8"/>
        </w:numPr>
      </w:pPr>
      <w:r w:rsidRPr="0087239E">
        <w:rPr>
          <w:b/>
          <w:bCs/>
        </w:rPr>
        <w:t>Intercambio de asientos registrales</w:t>
      </w:r>
      <w:r w:rsidRPr="00860386">
        <w:t>: Basado en el modelo de datos SICRES 4.0.</w:t>
      </w:r>
    </w:p>
    <w:p w14:paraId="7FF8C52E" w14:textId="77777777" w:rsidR="00860386" w:rsidRDefault="00860386" w:rsidP="00860386"/>
    <w:p w14:paraId="45854087" w14:textId="47880E14" w:rsidR="00860386" w:rsidRDefault="00860386" w:rsidP="00F662A5">
      <w:pPr>
        <w:pStyle w:val="Ttulo2"/>
      </w:pPr>
      <w:bookmarkStart w:id="6" w:name="_Toc221527794"/>
      <w:r w:rsidRPr="00ED66B5">
        <w:rPr>
          <w:highlight w:val="yellow"/>
        </w:rPr>
        <w:t>Intercambio, Registro y Servicios Comunes</w:t>
      </w:r>
      <w:bookmarkEnd w:id="6"/>
    </w:p>
    <w:p w14:paraId="593A2495" w14:textId="3115B3E4" w:rsidR="00860386" w:rsidRDefault="00860386" w:rsidP="00860386">
      <w:pPr>
        <w:pStyle w:val="Prrafodelista"/>
      </w:pPr>
      <w:r w:rsidRPr="00860386">
        <w:t>El intercambio de documentos entre administraciones se apoya en infraestructuras y modelos compartidos para garantizar la seguridad:</w:t>
      </w:r>
    </w:p>
    <w:p w14:paraId="119ED553" w14:textId="4F7EBC71" w:rsidR="00860386" w:rsidRPr="00ED66B5" w:rsidRDefault="00860386" w:rsidP="00860386">
      <w:pPr>
        <w:pStyle w:val="Prrafodelista"/>
        <w:numPr>
          <w:ilvl w:val="0"/>
          <w:numId w:val="9"/>
        </w:numPr>
        <w:rPr>
          <w:highlight w:val="yellow"/>
        </w:rPr>
      </w:pPr>
      <w:r w:rsidRPr="00ED66B5">
        <w:rPr>
          <w:b/>
          <w:bCs/>
          <w:highlight w:val="yellow"/>
        </w:rPr>
        <w:t>Red SARA</w:t>
      </w:r>
      <w:r w:rsidRPr="00ED66B5">
        <w:rPr>
          <w:highlight w:val="yellow"/>
        </w:rPr>
        <w:t>: Red privada de las AA.PP. españolas. Es el medio preferente, seguro y cerrado para las comunicaciones administrativas.</w:t>
      </w:r>
    </w:p>
    <w:p w14:paraId="1F3AC94C" w14:textId="2EF1638E" w:rsidR="00860386" w:rsidRPr="00ED66B5" w:rsidRDefault="00860386" w:rsidP="00860386">
      <w:pPr>
        <w:pStyle w:val="Prrafodelista"/>
        <w:numPr>
          <w:ilvl w:val="0"/>
          <w:numId w:val="9"/>
        </w:numPr>
        <w:rPr>
          <w:highlight w:val="yellow"/>
        </w:rPr>
      </w:pPr>
      <w:r w:rsidRPr="00ED66B5">
        <w:rPr>
          <w:b/>
          <w:bCs/>
          <w:highlight w:val="yellow"/>
        </w:rPr>
        <w:t>SICRES 4.0 vs SIR</w:t>
      </w:r>
      <w:r w:rsidRPr="00ED66B5">
        <w:rPr>
          <w:highlight w:val="yellow"/>
        </w:rPr>
        <w:t>: SICRES es el modelo de datos (el "qué" se envía) para los asientos registrales, mientras que SIR (Sistema de Interconexión de Registros) es la plataforma o infraestructura (el "cómo" viaja) que permite el intercambio en tiempo real.</w:t>
      </w:r>
    </w:p>
    <w:p w14:paraId="759B141E" w14:textId="5830A012" w:rsidR="00860386" w:rsidRPr="00ED66B5" w:rsidRDefault="00860386" w:rsidP="00860386">
      <w:pPr>
        <w:pStyle w:val="Prrafodelista"/>
        <w:numPr>
          <w:ilvl w:val="0"/>
          <w:numId w:val="9"/>
        </w:numPr>
        <w:rPr>
          <w:highlight w:val="yellow"/>
        </w:rPr>
      </w:pPr>
      <w:r w:rsidRPr="00ED66B5">
        <w:rPr>
          <w:b/>
          <w:bCs/>
          <w:highlight w:val="yellow"/>
        </w:rPr>
        <w:t>DIR3 (Directorio Común):</w:t>
      </w:r>
      <w:r w:rsidRPr="00ED66B5">
        <w:rPr>
          <w:highlight w:val="yellow"/>
        </w:rPr>
        <w:t xml:space="preserve"> Inventario unificado de unidades orgánicas y oficinas de registro.</w:t>
      </w:r>
    </w:p>
    <w:p w14:paraId="47156606" w14:textId="2E5915E2" w:rsidR="00860386" w:rsidRDefault="00860386" w:rsidP="00860386">
      <w:pPr>
        <w:pStyle w:val="Prrafodelista"/>
        <w:numPr>
          <w:ilvl w:val="0"/>
          <w:numId w:val="9"/>
        </w:numPr>
      </w:pPr>
      <w:r w:rsidRPr="0087239E">
        <w:rPr>
          <w:b/>
          <w:bCs/>
        </w:rPr>
        <w:t>CTT (Centro de Transferencia de Tecnología):</w:t>
      </w:r>
      <w:r w:rsidRPr="00860386">
        <w:t xml:space="preserve"> Directorio y repositorio de soluciones tecnológicas reutilizables.</w:t>
      </w:r>
    </w:p>
    <w:p w14:paraId="3D86AA11" w14:textId="3A654EAD" w:rsidR="00860386" w:rsidRDefault="00860386" w:rsidP="00860386">
      <w:pPr>
        <w:pStyle w:val="Prrafodelista"/>
        <w:numPr>
          <w:ilvl w:val="0"/>
          <w:numId w:val="9"/>
        </w:numPr>
      </w:pPr>
      <w:r w:rsidRPr="0087239E">
        <w:rPr>
          <w:b/>
          <w:bCs/>
        </w:rPr>
        <w:t>CISE</w:t>
      </w:r>
      <w:r w:rsidRPr="00860386">
        <w:t>: Nodo de interoperabilidad para la mediación de servicios.</w:t>
      </w:r>
    </w:p>
    <w:p w14:paraId="1247A946" w14:textId="1885CF1D" w:rsidR="00540457" w:rsidRPr="00ED66B5" w:rsidRDefault="001965D6" w:rsidP="00860386">
      <w:pPr>
        <w:pStyle w:val="Prrafodelista"/>
        <w:numPr>
          <w:ilvl w:val="0"/>
          <w:numId w:val="9"/>
        </w:numPr>
        <w:rPr>
          <w:highlight w:val="yellow"/>
        </w:rPr>
      </w:pPr>
      <w:r w:rsidRPr="00ED66B5">
        <w:rPr>
          <w:b/>
          <w:bCs/>
          <w:highlight w:val="yellow"/>
        </w:rPr>
        <w:t>PID (Plataforma de Intermediación de Datos):</w:t>
      </w:r>
      <w:r w:rsidRPr="00ED66B5">
        <w:rPr>
          <w:highlight w:val="yellow"/>
        </w:rPr>
        <w:t xml:space="preserve"> Servicio técnico que permite la consulta de datos del ciudadano (identidad, domicilio, títulos) para que este no tenga que aportarlos en papel.</w:t>
      </w:r>
    </w:p>
    <w:p w14:paraId="7336EFC7" w14:textId="44D99A61" w:rsidR="001965D6" w:rsidRPr="00ED66B5" w:rsidRDefault="001965D6" w:rsidP="00860386">
      <w:pPr>
        <w:pStyle w:val="Prrafodelista"/>
        <w:numPr>
          <w:ilvl w:val="0"/>
          <w:numId w:val="9"/>
        </w:numPr>
        <w:rPr>
          <w:highlight w:val="yellow"/>
        </w:rPr>
      </w:pPr>
      <w:r w:rsidRPr="00ED66B5">
        <w:rPr>
          <w:b/>
          <w:bCs/>
          <w:highlight w:val="yellow"/>
        </w:rPr>
        <w:t>@firma</w:t>
      </w:r>
      <w:r w:rsidRPr="00ED66B5">
        <w:rPr>
          <w:highlight w:val="yellow"/>
        </w:rPr>
        <w:t>: Plataforma centralizada de validación de certificados y firmas electrónicas que permite la interoperabilidad entre diferentes proveedores de servicios de certificación.</w:t>
      </w:r>
    </w:p>
    <w:p w14:paraId="101D5979" w14:textId="77777777" w:rsidR="00860386" w:rsidRDefault="00860386" w:rsidP="00860386"/>
    <w:p w14:paraId="10A21B19" w14:textId="5303FED6" w:rsidR="00860386" w:rsidRDefault="00860386" w:rsidP="00F662A5">
      <w:pPr>
        <w:pStyle w:val="Ttulo2"/>
      </w:pPr>
      <w:bookmarkStart w:id="7" w:name="_Toc221527795"/>
      <w:r w:rsidRPr="00ED66B5">
        <w:rPr>
          <w:highlight w:val="yellow"/>
        </w:rPr>
        <w:t>Copiado Auténtico, Conversión y Acceso</w:t>
      </w:r>
      <w:bookmarkEnd w:id="7"/>
    </w:p>
    <w:p w14:paraId="49D65D97" w14:textId="5C06E3E1" w:rsidR="00860386" w:rsidRPr="00ED66B5" w:rsidRDefault="00860386" w:rsidP="00860386">
      <w:pPr>
        <w:pStyle w:val="Prrafodelista"/>
        <w:rPr>
          <w:highlight w:val="yellow"/>
        </w:rPr>
      </w:pPr>
      <w:r w:rsidRPr="00ED66B5">
        <w:rPr>
          <w:highlight w:val="yellow"/>
        </w:rPr>
        <w:t>La generación de copias auténticas requiere que el sistema garantice la integridad y fidelidad respecto al original (sea papel o electrónico).</w:t>
      </w:r>
    </w:p>
    <w:p w14:paraId="02CD6912" w14:textId="5990525D" w:rsidR="00564678" w:rsidRPr="00ED66B5" w:rsidRDefault="00564678" w:rsidP="00564678">
      <w:pPr>
        <w:pStyle w:val="Prrafodelista"/>
        <w:ind w:left="1416"/>
        <w:rPr>
          <w:highlight w:val="yellow"/>
        </w:rPr>
      </w:pPr>
      <w:r w:rsidRPr="00ED66B5">
        <w:rPr>
          <w:highlight w:val="yellow"/>
        </w:rPr>
        <w:t>Requisitos de Visualización y Verificación (Anexo III): Al facilitar el acceso en Sede Electrónica, la AA.PP. debe mostrar de forma clara:</w:t>
      </w:r>
    </w:p>
    <w:p w14:paraId="7C5EFDF9" w14:textId="740EF5C3" w:rsidR="00564678" w:rsidRPr="00ED66B5" w:rsidRDefault="00564678" w:rsidP="00564678">
      <w:pPr>
        <w:pStyle w:val="Prrafodelista"/>
        <w:numPr>
          <w:ilvl w:val="0"/>
          <w:numId w:val="10"/>
        </w:numPr>
        <w:rPr>
          <w:highlight w:val="yellow"/>
        </w:rPr>
      </w:pPr>
      <w:r w:rsidRPr="00ED66B5">
        <w:rPr>
          <w:b/>
          <w:bCs/>
          <w:highlight w:val="yellow"/>
        </w:rPr>
        <w:t>Contenido</w:t>
      </w:r>
      <w:r w:rsidRPr="00ED66B5">
        <w:rPr>
          <w:highlight w:val="yellow"/>
        </w:rPr>
        <w:t>: El fichero representable.</w:t>
      </w:r>
    </w:p>
    <w:p w14:paraId="2FE592ED" w14:textId="559DFFEF" w:rsidR="00564678" w:rsidRPr="00ED66B5" w:rsidRDefault="00564678" w:rsidP="00564678">
      <w:pPr>
        <w:pStyle w:val="Prrafodelista"/>
        <w:numPr>
          <w:ilvl w:val="0"/>
          <w:numId w:val="10"/>
        </w:numPr>
        <w:rPr>
          <w:highlight w:val="yellow"/>
        </w:rPr>
      </w:pPr>
      <w:r w:rsidRPr="00ED66B5">
        <w:rPr>
          <w:b/>
          <w:bCs/>
          <w:highlight w:val="yellow"/>
        </w:rPr>
        <w:t>Información de Firma</w:t>
      </w:r>
      <w:r w:rsidRPr="00ED66B5">
        <w:rPr>
          <w:highlight w:val="yellow"/>
        </w:rPr>
        <w:t>: Validez, Emisor del certificado, y Fecha y hora de la firma. Si es CSV, el valor del código.</w:t>
      </w:r>
    </w:p>
    <w:p w14:paraId="6BB6C37D" w14:textId="22AD2502" w:rsidR="00564678" w:rsidRPr="00ED66B5" w:rsidRDefault="00564678" w:rsidP="00564678">
      <w:pPr>
        <w:pStyle w:val="Prrafodelista"/>
        <w:numPr>
          <w:ilvl w:val="0"/>
          <w:numId w:val="10"/>
        </w:numPr>
        <w:rPr>
          <w:highlight w:val="yellow"/>
        </w:rPr>
      </w:pPr>
      <w:r w:rsidRPr="00ED66B5">
        <w:rPr>
          <w:b/>
          <w:bCs/>
          <w:highlight w:val="yellow"/>
        </w:rPr>
        <w:t>Metadatos</w:t>
      </w:r>
      <w:r w:rsidRPr="00ED66B5">
        <w:rPr>
          <w:highlight w:val="yellow"/>
        </w:rPr>
        <w:t>: Descripción y valor de los metadatos mínimos obligatorios para el intercambio.</w:t>
      </w:r>
    </w:p>
    <w:p w14:paraId="0AFE90CB" w14:textId="6501FF22" w:rsidR="00564678" w:rsidRDefault="00564678" w:rsidP="00564678">
      <w:pPr>
        <w:ind w:left="708"/>
      </w:pPr>
      <w:r w:rsidRPr="00ED66B5">
        <w:rPr>
          <w:highlight w:val="yellow"/>
        </w:rPr>
        <w:t>En caso de impresión en papel, el documento debe incluir el CSV para su cotejo en sede y los datos de representación de la firma electrónica (justificante de firma).</w:t>
      </w:r>
    </w:p>
    <w:p w14:paraId="23538ABC" w14:textId="77777777" w:rsidR="00564678" w:rsidRDefault="00564678" w:rsidP="00564678">
      <w:pPr>
        <w:ind w:left="708"/>
      </w:pPr>
    </w:p>
    <w:p w14:paraId="6AC1CD26" w14:textId="06C20B31" w:rsidR="00564678" w:rsidRDefault="009C2D9F" w:rsidP="00F662A5">
      <w:pPr>
        <w:pStyle w:val="Ttulo2"/>
      </w:pPr>
      <w:bookmarkStart w:id="8" w:name="_Toc221527796"/>
      <w:r w:rsidRPr="009C2D9F">
        <w:t>Auditoría y Conformidad con el ENI</w:t>
      </w:r>
      <w:bookmarkEnd w:id="8"/>
    </w:p>
    <w:p w14:paraId="2DE5F536" w14:textId="577FAD44" w:rsidR="009C2D9F" w:rsidRDefault="009C2D9F" w:rsidP="009C2D9F">
      <w:pPr>
        <w:pStyle w:val="Prrafodelista"/>
      </w:pPr>
      <w:r w:rsidRPr="009C2D9F">
        <w:t>La adecuación al ENI es un proceso continuo que culmina con la Declaración de Conformidad, según el Art. 28 del RD 4/2010.</w:t>
      </w:r>
    </w:p>
    <w:p w14:paraId="2306B1FF" w14:textId="050FC311" w:rsidR="001965D6" w:rsidRPr="00963CA1" w:rsidRDefault="001965D6" w:rsidP="009C2D9F">
      <w:pPr>
        <w:pStyle w:val="Prrafodelista"/>
      </w:pPr>
      <w:r w:rsidRPr="001965D6">
        <w:t>El cumplimiento del ENI se apoya técnicamente en las Guías de Aplicación de Interoperabilidad, publicadas por la Secretaría General de Administración Digital en el CTT, que detallan la implementación práctica de cada NTI</w:t>
      </w:r>
      <w:r>
        <w:t>.</w:t>
      </w:r>
    </w:p>
    <w:sectPr w:rsidR="001965D6" w:rsidRPr="00963CA1">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17DC8" w14:textId="77777777" w:rsidR="005968D5" w:rsidRDefault="005968D5" w:rsidP="00EC5379">
      <w:pPr>
        <w:spacing w:after="0" w:line="240" w:lineRule="auto"/>
      </w:pPr>
      <w:r>
        <w:separator/>
      </w:r>
    </w:p>
  </w:endnote>
  <w:endnote w:type="continuationSeparator" w:id="0">
    <w:p w14:paraId="17C4EC81" w14:textId="77777777" w:rsidR="005968D5" w:rsidRDefault="005968D5" w:rsidP="00EC5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290731"/>
      <w:docPartObj>
        <w:docPartGallery w:val="Page Numbers (Bottom of Page)"/>
        <w:docPartUnique/>
      </w:docPartObj>
    </w:sdtPr>
    <w:sdtContent>
      <w:p w14:paraId="2D433762" w14:textId="44914337" w:rsidR="00EC5379" w:rsidRDefault="00EC5379">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3375A152" w14:textId="77777777" w:rsidR="00EC5379" w:rsidRDefault="00EC53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903A1" w14:textId="77777777" w:rsidR="005968D5" w:rsidRDefault="005968D5" w:rsidP="00EC5379">
      <w:pPr>
        <w:spacing w:after="0" w:line="240" w:lineRule="auto"/>
      </w:pPr>
      <w:r>
        <w:separator/>
      </w:r>
    </w:p>
  </w:footnote>
  <w:footnote w:type="continuationSeparator" w:id="0">
    <w:p w14:paraId="3965E0C5" w14:textId="77777777" w:rsidR="005968D5" w:rsidRDefault="005968D5" w:rsidP="00EC53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67B"/>
    <w:multiLevelType w:val="hybridMultilevel"/>
    <w:tmpl w:val="4BCC4C9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CA023EA"/>
    <w:multiLevelType w:val="hybridMultilevel"/>
    <w:tmpl w:val="A07E6F2A"/>
    <w:lvl w:ilvl="0" w:tplc="DFE040DC">
      <w:start w:val="1"/>
      <w:numFmt w:val="decimal"/>
      <w:lvlText w:val="%1."/>
      <w:lvlJc w:val="left"/>
      <w:pPr>
        <w:ind w:left="1776" w:hanging="360"/>
      </w:pPr>
      <w:rPr>
        <w:rFonts w:hint="default"/>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2" w15:restartNumberingAfterBreak="0">
    <w:nsid w:val="34EC1218"/>
    <w:multiLevelType w:val="hybridMultilevel"/>
    <w:tmpl w:val="989049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39EE27E8"/>
    <w:multiLevelType w:val="hybridMultilevel"/>
    <w:tmpl w:val="5F5A66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29F6BDF"/>
    <w:multiLevelType w:val="hybridMultilevel"/>
    <w:tmpl w:val="57060A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F690CF2"/>
    <w:multiLevelType w:val="hybridMultilevel"/>
    <w:tmpl w:val="C9C644A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682D62B2"/>
    <w:multiLevelType w:val="hybridMultilevel"/>
    <w:tmpl w:val="86EA3B98"/>
    <w:lvl w:ilvl="0" w:tplc="77381294">
      <w:start w:val="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AB85153"/>
    <w:multiLevelType w:val="hybridMultilevel"/>
    <w:tmpl w:val="4B2C2A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24347BB"/>
    <w:multiLevelType w:val="hybridMultilevel"/>
    <w:tmpl w:val="49C68F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D1C6125"/>
    <w:multiLevelType w:val="hybridMultilevel"/>
    <w:tmpl w:val="3A24D64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48512404">
    <w:abstractNumId w:val="3"/>
  </w:num>
  <w:num w:numId="2" w16cid:durableId="1971086602">
    <w:abstractNumId w:val="0"/>
  </w:num>
  <w:num w:numId="3" w16cid:durableId="1830903629">
    <w:abstractNumId w:val="4"/>
  </w:num>
  <w:num w:numId="4" w16cid:durableId="914514759">
    <w:abstractNumId w:val="8"/>
  </w:num>
  <w:num w:numId="5" w16cid:durableId="2016614990">
    <w:abstractNumId w:val="7"/>
  </w:num>
  <w:num w:numId="6" w16cid:durableId="1778671295">
    <w:abstractNumId w:val="9"/>
  </w:num>
  <w:num w:numId="7" w16cid:durableId="409235148">
    <w:abstractNumId w:val="6"/>
  </w:num>
  <w:num w:numId="8" w16cid:durableId="1091000350">
    <w:abstractNumId w:val="2"/>
  </w:num>
  <w:num w:numId="9" w16cid:durableId="1916163610">
    <w:abstractNumId w:val="5"/>
  </w:num>
  <w:num w:numId="10" w16cid:durableId="846988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FE8"/>
    <w:rsid w:val="000147FB"/>
    <w:rsid w:val="00057B72"/>
    <w:rsid w:val="00154A86"/>
    <w:rsid w:val="001965D6"/>
    <w:rsid w:val="001F34B7"/>
    <w:rsid w:val="002417F8"/>
    <w:rsid w:val="00292784"/>
    <w:rsid w:val="00321C63"/>
    <w:rsid w:val="00345DB2"/>
    <w:rsid w:val="00384E7B"/>
    <w:rsid w:val="00400B5C"/>
    <w:rsid w:val="00436E11"/>
    <w:rsid w:val="00540457"/>
    <w:rsid w:val="0056416E"/>
    <w:rsid w:val="00564678"/>
    <w:rsid w:val="005968D5"/>
    <w:rsid w:val="00684EA0"/>
    <w:rsid w:val="007C1B7E"/>
    <w:rsid w:val="00860386"/>
    <w:rsid w:val="0087239E"/>
    <w:rsid w:val="008A251D"/>
    <w:rsid w:val="008C19B3"/>
    <w:rsid w:val="008D6E70"/>
    <w:rsid w:val="00950117"/>
    <w:rsid w:val="0095232C"/>
    <w:rsid w:val="00963CA1"/>
    <w:rsid w:val="009C2D9F"/>
    <w:rsid w:val="00A24092"/>
    <w:rsid w:val="00A646F2"/>
    <w:rsid w:val="00A727B4"/>
    <w:rsid w:val="00A82740"/>
    <w:rsid w:val="00AA60CB"/>
    <w:rsid w:val="00AB7F04"/>
    <w:rsid w:val="00B0586D"/>
    <w:rsid w:val="00C17F7D"/>
    <w:rsid w:val="00C2241C"/>
    <w:rsid w:val="00C756FE"/>
    <w:rsid w:val="00C84F13"/>
    <w:rsid w:val="00CC222D"/>
    <w:rsid w:val="00D07B15"/>
    <w:rsid w:val="00D25931"/>
    <w:rsid w:val="00DD7425"/>
    <w:rsid w:val="00EC5379"/>
    <w:rsid w:val="00ED66B5"/>
    <w:rsid w:val="00F3084A"/>
    <w:rsid w:val="00F662A5"/>
    <w:rsid w:val="00FA748B"/>
    <w:rsid w:val="00FB0FE8"/>
    <w:rsid w:val="00FB31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51D30"/>
  <w14:defaultImageDpi w14:val="32767"/>
  <w15:chartTrackingRefBased/>
  <w15:docId w15:val="{339D1EDF-92F3-41DB-9776-87336D542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semiHidden/>
    <w:unhideWhenUsed/>
    <w:qFormat/>
    <w:rsid w:val="00FB0FE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FB0FE8"/>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FB0F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FB0FE8"/>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FB0FE8"/>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FB0FE8"/>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semiHidden/>
    <w:rsid w:val="00FB0FE8"/>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FB0FE8"/>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FB0FE8"/>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FB0FE8"/>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FB0FE8"/>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FB0FE8"/>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FB0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0F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0FE8"/>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FB0FE8"/>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FB0FE8"/>
    <w:pPr>
      <w:spacing w:before="160"/>
      <w:jc w:val="center"/>
    </w:pPr>
    <w:rPr>
      <w:i/>
      <w:iCs/>
      <w:color w:val="404040" w:themeColor="text1" w:themeTint="BF"/>
    </w:rPr>
  </w:style>
  <w:style w:type="character" w:customStyle="1" w:styleId="CitaCar">
    <w:name w:val="Cita Car"/>
    <w:basedOn w:val="Fuentedeprrafopredeter"/>
    <w:link w:val="Cita"/>
    <w:uiPriority w:val="29"/>
    <w:rsid w:val="00FB0FE8"/>
    <w:rPr>
      <w:i/>
      <w:iCs/>
      <w:color w:val="404040" w:themeColor="text1" w:themeTint="BF"/>
    </w:rPr>
  </w:style>
  <w:style w:type="paragraph" w:styleId="Prrafodelista">
    <w:name w:val="List Paragraph"/>
    <w:basedOn w:val="Normal"/>
    <w:uiPriority w:val="34"/>
    <w:qFormat/>
    <w:rsid w:val="00FB0FE8"/>
    <w:pPr>
      <w:ind w:left="720"/>
      <w:contextualSpacing/>
    </w:pPr>
  </w:style>
  <w:style w:type="character" w:styleId="nfasisintenso">
    <w:name w:val="Intense Emphasis"/>
    <w:basedOn w:val="Fuentedeprrafopredeter"/>
    <w:uiPriority w:val="21"/>
    <w:qFormat/>
    <w:rsid w:val="00FB0FE8"/>
    <w:rPr>
      <w:i/>
      <w:iCs/>
      <w:color w:val="2F5496" w:themeColor="accent1" w:themeShade="BF"/>
    </w:rPr>
  </w:style>
  <w:style w:type="paragraph" w:styleId="Citadestacada">
    <w:name w:val="Intense Quote"/>
    <w:basedOn w:val="Normal"/>
    <w:next w:val="Normal"/>
    <w:link w:val="CitadestacadaCar"/>
    <w:uiPriority w:val="30"/>
    <w:qFormat/>
    <w:rsid w:val="00FB0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B0FE8"/>
    <w:rPr>
      <w:i/>
      <w:iCs/>
      <w:color w:val="2F5496" w:themeColor="accent1" w:themeShade="BF"/>
    </w:rPr>
  </w:style>
  <w:style w:type="character" w:styleId="Referenciaintensa">
    <w:name w:val="Intense Reference"/>
    <w:basedOn w:val="Fuentedeprrafopredeter"/>
    <w:uiPriority w:val="32"/>
    <w:qFormat/>
    <w:rsid w:val="00FB0FE8"/>
    <w:rPr>
      <w:b/>
      <w:bCs/>
      <w:smallCaps/>
      <w:color w:val="2F5496" w:themeColor="accent1" w:themeShade="BF"/>
      <w:spacing w:val="5"/>
    </w:rPr>
  </w:style>
  <w:style w:type="table" w:styleId="Tablaconcuadrcula">
    <w:name w:val="Table Grid"/>
    <w:basedOn w:val="Tablanormal"/>
    <w:uiPriority w:val="39"/>
    <w:rsid w:val="000147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F662A5"/>
    <w:pPr>
      <w:spacing w:after="100"/>
      <w:ind w:left="280"/>
    </w:pPr>
  </w:style>
  <w:style w:type="character" w:styleId="Hipervnculo">
    <w:name w:val="Hyperlink"/>
    <w:basedOn w:val="Fuentedeprrafopredeter"/>
    <w:uiPriority w:val="99"/>
    <w:unhideWhenUsed/>
    <w:rsid w:val="00F662A5"/>
    <w:rPr>
      <w:color w:val="0563C1" w:themeColor="hyperlink"/>
      <w:u w:val="single"/>
    </w:rPr>
  </w:style>
  <w:style w:type="paragraph" w:styleId="Encabezado">
    <w:name w:val="header"/>
    <w:basedOn w:val="Normal"/>
    <w:link w:val="EncabezadoCar"/>
    <w:uiPriority w:val="99"/>
    <w:unhideWhenUsed/>
    <w:rsid w:val="00EC53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5379"/>
  </w:style>
  <w:style w:type="paragraph" w:styleId="Piedepgina">
    <w:name w:val="footer"/>
    <w:basedOn w:val="Normal"/>
    <w:link w:val="PiedepginaCar"/>
    <w:uiPriority w:val="99"/>
    <w:unhideWhenUsed/>
    <w:rsid w:val="00EC53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53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A539C-07FA-4F2A-807D-249E3B99E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1565</Words>
  <Characters>8611</Characters>
  <Application>Microsoft Office Word</Application>
  <DocSecurity>0</DocSecurity>
  <Lines>71</Lines>
  <Paragraphs>20</Paragraphs>
  <ScaleCrop>false</ScaleCrop>
  <HeadingPairs>
    <vt:vector size="4" baseType="variant">
      <vt:variant>
        <vt:lpstr>Título</vt:lpstr>
      </vt:variant>
      <vt:variant>
        <vt:i4>1</vt:i4>
      </vt:variant>
      <vt:variant>
        <vt:lpstr>Títulos</vt:lpstr>
      </vt:variant>
      <vt:variant>
        <vt:i4>9</vt:i4>
      </vt:variant>
    </vt:vector>
  </HeadingPairs>
  <TitlesOfParts>
    <vt:vector size="10" baseType="lpstr">
      <vt:lpstr/>
      <vt:lpstr>    Marco legal y fundamentos del ENI</vt:lpstr>
      <vt:lpstr>    Dimensiones de la Interoperabilidad</vt:lpstr>
      <vt:lpstr>    El Documento Electrónico: Definición y Dimensiones</vt:lpstr>
      <vt:lpstr>    Estructura Lógica y Componentes (Estructura de Intercambio)</vt:lpstr>
      <vt:lpstr>    Metadatos Mínimos Obligatorios (e-EMGDE)</vt:lpstr>
      <vt:lpstr>    Desglose de las Normas Técnicas de Interoperabilidad (NTI)</vt:lpstr>
      <vt:lpstr>    Intercambio, Registro y Servicios Comunes</vt:lpstr>
      <vt:lpstr>    Copiado Auténtico, Conversión y Acceso</vt:lpstr>
      <vt:lpstr>    Auditoría y Conformidad con el ENI</vt:lpstr>
    </vt:vector>
  </TitlesOfParts>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14</cp:revision>
  <cp:lastPrinted>2026-02-09T09:59:00Z</cp:lastPrinted>
  <dcterms:created xsi:type="dcterms:W3CDTF">2026-02-09T09:26:00Z</dcterms:created>
  <dcterms:modified xsi:type="dcterms:W3CDTF">2026-02-09T10:09:00Z</dcterms:modified>
</cp:coreProperties>
</file>