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DE71" w14:textId="4E9C6282" w:rsidR="00F3084A" w:rsidRDefault="00F22C4C" w:rsidP="00F22C4C">
      <w:pPr>
        <w:jc w:val="center"/>
        <w:rPr>
          <w:rFonts w:ascii="Arial Black" w:hAnsi="Arial Black"/>
          <w:sz w:val="36"/>
          <w:szCs w:val="28"/>
        </w:rPr>
      </w:pPr>
      <w:r>
        <w:rPr>
          <w:rFonts w:ascii="Arial Black" w:hAnsi="Arial Black"/>
          <w:sz w:val="36"/>
          <w:szCs w:val="28"/>
        </w:rPr>
        <w:t>RESUMEN NORMAS TÉCNICAS DE INTEROPERABILIDAD</w:t>
      </w:r>
    </w:p>
    <w:p w14:paraId="2D3693B4" w14:textId="77777777" w:rsidR="000A4A9C" w:rsidRDefault="000A4A9C" w:rsidP="00F22C4C">
      <w:pPr>
        <w:jc w:val="center"/>
        <w:rPr>
          <w:rFonts w:ascii="Arial Black" w:hAnsi="Arial Black"/>
          <w:sz w:val="36"/>
          <w:szCs w:val="28"/>
        </w:rPr>
      </w:pPr>
    </w:p>
    <w:p w14:paraId="16EEB8F4" w14:textId="3C544308" w:rsidR="00B872D0" w:rsidRDefault="000A4A9C">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1548870" w:history="1">
        <w:r w:rsidR="00B872D0" w:rsidRPr="004A2644">
          <w:rPr>
            <w:rStyle w:val="Hipervnculo"/>
            <w:noProof/>
            <w:highlight w:val="yellow"/>
          </w:rPr>
          <w:t>Marco Legal y Fundamentos del ENI</w:t>
        </w:r>
        <w:r w:rsidR="00B872D0">
          <w:rPr>
            <w:noProof/>
            <w:webHidden/>
          </w:rPr>
          <w:tab/>
        </w:r>
        <w:r w:rsidR="00B872D0">
          <w:rPr>
            <w:noProof/>
            <w:webHidden/>
          </w:rPr>
          <w:fldChar w:fldCharType="begin"/>
        </w:r>
        <w:r w:rsidR="00B872D0">
          <w:rPr>
            <w:noProof/>
            <w:webHidden/>
          </w:rPr>
          <w:instrText xml:space="preserve"> PAGEREF _Toc221548870 \h </w:instrText>
        </w:r>
        <w:r w:rsidR="00B872D0">
          <w:rPr>
            <w:noProof/>
            <w:webHidden/>
          </w:rPr>
        </w:r>
        <w:r w:rsidR="00B872D0">
          <w:rPr>
            <w:noProof/>
            <w:webHidden/>
          </w:rPr>
          <w:fldChar w:fldCharType="separate"/>
        </w:r>
        <w:r w:rsidR="00B872D0">
          <w:rPr>
            <w:noProof/>
            <w:webHidden/>
          </w:rPr>
          <w:t>1</w:t>
        </w:r>
        <w:r w:rsidR="00B872D0">
          <w:rPr>
            <w:noProof/>
            <w:webHidden/>
          </w:rPr>
          <w:fldChar w:fldCharType="end"/>
        </w:r>
      </w:hyperlink>
    </w:p>
    <w:p w14:paraId="5F3A185E" w14:textId="177FF2FB"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1" w:history="1">
        <w:r w:rsidRPr="004A2644">
          <w:rPr>
            <w:rStyle w:val="Hipervnculo"/>
            <w:noProof/>
            <w:highlight w:val="yellow"/>
          </w:rPr>
          <w:t>Clasificación de Controles de Interoperabilidad</w:t>
        </w:r>
        <w:r>
          <w:rPr>
            <w:noProof/>
            <w:webHidden/>
          </w:rPr>
          <w:tab/>
        </w:r>
        <w:r>
          <w:rPr>
            <w:noProof/>
            <w:webHidden/>
          </w:rPr>
          <w:fldChar w:fldCharType="begin"/>
        </w:r>
        <w:r>
          <w:rPr>
            <w:noProof/>
            <w:webHidden/>
          </w:rPr>
          <w:instrText xml:space="preserve"> PAGEREF _Toc221548871 \h </w:instrText>
        </w:r>
        <w:r>
          <w:rPr>
            <w:noProof/>
            <w:webHidden/>
          </w:rPr>
        </w:r>
        <w:r>
          <w:rPr>
            <w:noProof/>
            <w:webHidden/>
          </w:rPr>
          <w:fldChar w:fldCharType="separate"/>
        </w:r>
        <w:r>
          <w:rPr>
            <w:noProof/>
            <w:webHidden/>
          </w:rPr>
          <w:t>2</w:t>
        </w:r>
        <w:r>
          <w:rPr>
            <w:noProof/>
            <w:webHidden/>
          </w:rPr>
          <w:fldChar w:fldCharType="end"/>
        </w:r>
      </w:hyperlink>
    </w:p>
    <w:p w14:paraId="52C5C309" w14:textId="6E2C7761"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2" w:history="1">
        <w:r w:rsidRPr="004A2644">
          <w:rPr>
            <w:rStyle w:val="Hipervnculo"/>
            <w:noProof/>
            <w:highlight w:val="yellow"/>
          </w:rPr>
          <w:t>NTI de Marco Organizativo: Reutilización y Publicación</w:t>
        </w:r>
        <w:r>
          <w:rPr>
            <w:noProof/>
            <w:webHidden/>
          </w:rPr>
          <w:tab/>
        </w:r>
        <w:r>
          <w:rPr>
            <w:noProof/>
            <w:webHidden/>
          </w:rPr>
          <w:fldChar w:fldCharType="begin"/>
        </w:r>
        <w:r>
          <w:rPr>
            <w:noProof/>
            <w:webHidden/>
          </w:rPr>
          <w:instrText xml:space="preserve"> PAGEREF _Toc221548872 \h </w:instrText>
        </w:r>
        <w:r>
          <w:rPr>
            <w:noProof/>
            <w:webHidden/>
          </w:rPr>
        </w:r>
        <w:r>
          <w:rPr>
            <w:noProof/>
            <w:webHidden/>
          </w:rPr>
          <w:fldChar w:fldCharType="separate"/>
        </w:r>
        <w:r>
          <w:rPr>
            <w:noProof/>
            <w:webHidden/>
          </w:rPr>
          <w:t>2</w:t>
        </w:r>
        <w:r>
          <w:rPr>
            <w:noProof/>
            <w:webHidden/>
          </w:rPr>
          <w:fldChar w:fldCharType="end"/>
        </w:r>
      </w:hyperlink>
    </w:p>
    <w:p w14:paraId="07D817E6" w14:textId="26532ABB"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3" w:history="1">
        <w:r w:rsidRPr="004A2644">
          <w:rPr>
            <w:rStyle w:val="Hipervnculo"/>
            <w:noProof/>
            <w:highlight w:val="yellow"/>
          </w:rPr>
          <w:t>NTI de Marco Operacional: Documento y Expediente Electrónico</w:t>
        </w:r>
        <w:r>
          <w:rPr>
            <w:noProof/>
            <w:webHidden/>
          </w:rPr>
          <w:tab/>
        </w:r>
        <w:r>
          <w:rPr>
            <w:noProof/>
            <w:webHidden/>
          </w:rPr>
          <w:fldChar w:fldCharType="begin"/>
        </w:r>
        <w:r>
          <w:rPr>
            <w:noProof/>
            <w:webHidden/>
          </w:rPr>
          <w:instrText xml:space="preserve"> PAGEREF _Toc221548873 \h </w:instrText>
        </w:r>
        <w:r>
          <w:rPr>
            <w:noProof/>
            <w:webHidden/>
          </w:rPr>
        </w:r>
        <w:r>
          <w:rPr>
            <w:noProof/>
            <w:webHidden/>
          </w:rPr>
          <w:fldChar w:fldCharType="separate"/>
        </w:r>
        <w:r>
          <w:rPr>
            <w:noProof/>
            <w:webHidden/>
          </w:rPr>
          <w:t>3</w:t>
        </w:r>
        <w:r>
          <w:rPr>
            <w:noProof/>
            <w:webHidden/>
          </w:rPr>
          <w:fldChar w:fldCharType="end"/>
        </w:r>
      </w:hyperlink>
    </w:p>
    <w:p w14:paraId="08198E0D" w14:textId="5A943B52"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4" w:history="1">
        <w:r w:rsidRPr="004A2644">
          <w:rPr>
            <w:rStyle w:val="Hipervnculo"/>
            <w:noProof/>
            <w:highlight w:val="yellow"/>
          </w:rPr>
          <w:t>Procesos de Gestión Documental: Digitalización y Copiado</w:t>
        </w:r>
        <w:r>
          <w:rPr>
            <w:noProof/>
            <w:webHidden/>
          </w:rPr>
          <w:tab/>
        </w:r>
        <w:r>
          <w:rPr>
            <w:noProof/>
            <w:webHidden/>
          </w:rPr>
          <w:fldChar w:fldCharType="begin"/>
        </w:r>
        <w:r>
          <w:rPr>
            <w:noProof/>
            <w:webHidden/>
          </w:rPr>
          <w:instrText xml:space="preserve"> PAGEREF _Toc221548874 \h </w:instrText>
        </w:r>
        <w:r>
          <w:rPr>
            <w:noProof/>
            <w:webHidden/>
          </w:rPr>
        </w:r>
        <w:r>
          <w:rPr>
            <w:noProof/>
            <w:webHidden/>
          </w:rPr>
          <w:fldChar w:fldCharType="separate"/>
        </w:r>
        <w:r>
          <w:rPr>
            <w:noProof/>
            <w:webHidden/>
          </w:rPr>
          <w:t>4</w:t>
        </w:r>
        <w:r>
          <w:rPr>
            <w:noProof/>
            <w:webHidden/>
          </w:rPr>
          <w:fldChar w:fldCharType="end"/>
        </w:r>
      </w:hyperlink>
    </w:p>
    <w:p w14:paraId="576B44BD" w14:textId="425E512B"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5" w:history="1">
        <w:r w:rsidRPr="004A2644">
          <w:rPr>
            <w:rStyle w:val="Hipervnculo"/>
            <w:noProof/>
            <w:highlight w:val="yellow"/>
          </w:rPr>
          <w:t>NTI de Política de Firma Electrónica y Certificados</w:t>
        </w:r>
        <w:r>
          <w:rPr>
            <w:noProof/>
            <w:webHidden/>
          </w:rPr>
          <w:tab/>
        </w:r>
        <w:r>
          <w:rPr>
            <w:noProof/>
            <w:webHidden/>
          </w:rPr>
          <w:fldChar w:fldCharType="begin"/>
        </w:r>
        <w:r>
          <w:rPr>
            <w:noProof/>
            <w:webHidden/>
          </w:rPr>
          <w:instrText xml:space="preserve"> PAGEREF _Toc221548875 \h </w:instrText>
        </w:r>
        <w:r>
          <w:rPr>
            <w:noProof/>
            <w:webHidden/>
          </w:rPr>
        </w:r>
        <w:r>
          <w:rPr>
            <w:noProof/>
            <w:webHidden/>
          </w:rPr>
          <w:fldChar w:fldCharType="separate"/>
        </w:r>
        <w:r>
          <w:rPr>
            <w:noProof/>
            <w:webHidden/>
          </w:rPr>
          <w:t>4</w:t>
        </w:r>
        <w:r>
          <w:rPr>
            <w:noProof/>
            <w:webHidden/>
          </w:rPr>
          <w:fldChar w:fldCharType="end"/>
        </w:r>
      </w:hyperlink>
    </w:p>
    <w:p w14:paraId="4938F375" w14:textId="7A4B81FA"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6" w:history="1">
        <w:r w:rsidRPr="004A2644">
          <w:rPr>
            <w:rStyle w:val="Hipervnculo"/>
            <w:noProof/>
          </w:rPr>
          <w:t>Medidas Técnicas: Red SARA, Estándares y Hora Oficial</w:t>
        </w:r>
        <w:r>
          <w:rPr>
            <w:noProof/>
            <w:webHidden/>
          </w:rPr>
          <w:tab/>
        </w:r>
        <w:r>
          <w:rPr>
            <w:noProof/>
            <w:webHidden/>
          </w:rPr>
          <w:fldChar w:fldCharType="begin"/>
        </w:r>
        <w:r>
          <w:rPr>
            <w:noProof/>
            <w:webHidden/>
          </w:rPr>
          <w:instrText xml:space="preserve"> PAGEREF _Toc221548876 \h </w:instrText>
        </w:r>
        <w:r>
          <w:rPr>
            <w:noProof/>
            <w:webHidden/>
          </w:rPr>
        </w:r>
        <w:r>
          <w:rPr>
            <w:noProof/>
            <w:webHidden/>
          </w:rPr>
          <w:fldChar w:fldCharType="separate"/>
        </w:r>
        <w:r>
          <w:rPr>
            <w:noProof/>
            <w:webHidden/>
          </w:rPr>
          <w:t>5</w:t>
        </w:r>
        <w:r>
          <w:rPr>
            <w:noProof/>
            <w:webHidden/>
          </w:rPr>
          <w:fldChar w:fldCharType="end"/>
        </w:r>
      </w:hyperlink>
    </w:p>
    <w:p w14:paraId="28E09F74" w14:textId="7B982719"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7" w:history="1">
        <w:r w:rsidRPr="004A2644">
          <w:rPr>
            <w:rStyle w:val="Hipervnculo"/>
            <w:noProof/>
            <w:highlight w:val="yellow"/>
          </w:rPr>
          <w:t>Modelos de Intercambio y Vocabularios (SICRES)</w:t>
        </w:r>
        <w:r>
          <w:rPr>
            <w:noProof/>
            <w:webHidden/>
          </w:rPr>
          <w:tab/>
        </w:r>
        <w:r>
          <w:rPr>
            <w:noProof/>
            <w:webHidden/>
          </w:rPr>
          <w:fldChar w:fldCharType="begin"/>
        </w:r>
        <w:r>
          <w:rPr>
            <w:noProof/>
            <w:webHidden/>
          </w:rPr>
          <w:instrText xml:space="preserve"> PAGEREF _Toc221548877 \h </w:instrText>
        </w:r>
        <w:r>
          <w:rPr>
            <w:noProof/>
            <w:webHidden/>
          </w:rPr>
        </w:r>
        <w:r>
          <w:rPr>
            <w:noProof/>
            <w:webHidden/>
          </w:rPr>
          <w:fldChar w:fldCharType="separate"/>
        </w:r>
        <w:r>
          <w:rPr>
            <w:noProof/>
            <w:webHidden/>
          </w:rPr>
          <w:t>5</w:t>
        </w:r>
        <w:r>
          <w:rPr>
            <w:noProof/>
            <w:webHidden/>
          </w:rPr>
          <w:fldChar w:fldCharType="end"/>
        </w:r>
      </w:hyperlink>
    </w:p>
    <w:p w14:paraId="4C51F7B6" w14:textId="66B44E39"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8" w:history="1">
        <w:r w:rsidRPr="004A2644">
          <w:rPr>
            <w:rStyle w:val="Hipervnculo"/>
            <w:noProof/>
            <w:highlight w:val="yellow"/>
          </w:rPr>
          <w:t>Métricas de Conformidad y Auditoría</w:t>
        </w:r>
        <w:r>
          <w:rPr>
            <w:noProof/>
            <w:webHidden/>
          </w:rPr>
          <w:tab/>
        </w:r>
        <w:r>
          <w:rPr>
            <w:noProof/>
            <w:webHidden/>
          </w:rPr>
          <w:fldChar w:fldCharType="begin"/>
        </w:r>
        <w:r>
          <w:rPr>
            <w:noProof/>
            <w:webHidden/>
          </w:rPr>
          <w:instrText xml:space="preserve"> PAGEREF _Toc221548878 \h </w:instrText>
        </w:r>
        <w:r>
          <w:rPr>
            <w:noProof/>
            <w:webHidden/>
          </w:rPr>
        </w:r>
        <w:r>
          <w:rPr>
            <w:noProof/>
            <w:webHidden/>
          </w:rPr>
          <w:fldChar w:fldCharType="separate"/>
        </w:r>
        <w:r>
          <w:rPr>
            <w:noProof/>
            <w:webHidden/>
          </w:rPr>
          <w:t>6</w:t>
        </w:r>
        <w:r>
          <w:rPr>
            <w:noProof/>
            <w:webHidden/>
          </w:rPr>
          <w:fldChar w:fldCharType="end"/>
        </w:r>
      </w:hyperlink>
    </w:p>
    <w:p w14:paraId="7F98E166" w14:textId="178C3D7C" w:rsidR="00B872D0" w:rsidRDefault="00B872D0">
      <w:pPr>
        <w:pStyle w:val="TDC2"/>
        <w:tabs>
          <w:tab w:val="right" w:leader="dot" w:pos="8494"/>
        </w:tabs>
        <w:rPr>
          <w:rFonts w:asciiTheme="minorHAnsi" w:eastAsiaTheme="minorEastAsia" w:hAnsiTheme="minorHAnsi"/>
          <w:noProof/>
          <w:sz w:val="24"/>
          <w:szCs w:val="24"/>
          <w:lang w:eastAsia="es-ES"/>
        </w:rPr>
      </w:pPr>
      <w:hyperlink w:anchor="_Toc221548879" w:history="1">
        <w:r w:rsidRPr="004A2644">
          <w:rPr>
            <w:rStyle w:val="Hipervnculo"/>
            <w:noProof/>
          </w:rPr>
          <w:t>Glosario de Recursos de Referencia</w:t>
        </w:r>
        <w:r>
          <w:rPr>
            <w:noProof/>
            <w:webHidden/>
          </w:rPr>
          <w:tab/>
        </w:r>
        <w:r>
          <w:rPr>
            <w:noProof/>
            <w:webHidden/>
          </w:rPr>
          <w:fldChar w:fldCharType="begin"/>
        </w:r>
        <w:r>
          <w:rPr>
            <w:noProof/>
            <w:webHidden/>
          </w:rPr>
          <w:instrText xml:space="preserve"> PAGEREF _Toc221548879 \h </w:instrText>
        </w:r>
        <w:r>
          <w:rPr>
            <w:noProof/>
            <w:webHidden/>
          </w:rPr>
        </w:r>
        <w:r>
          <w:rPr>
            <w:noProof/>
            <w:webHidden/>
          </w:rPr>
          <w:fldChar w:fldCharType="separate"/>
        </w:r>
        <w:r>
          <w:rPr>
            <w:noProof/>
            <w:webHidden/>
          </w:rPr>
          <w:t>6</w:t>
        </w:r>
        <w:r>
          <w:rPr>
            <w:noProof/>
            <w:webHidden/>
          </w:rPr>
          <w:fldChar w:fldCharType="end"/>
        </w:r>
      </w:hyperlink>
    </w:p>
    <w:p w14:paraId="0DB76F0A" w14:textId="270BEF8E" w:rsidR="00F22C4C" w:rsidRDefault="000A4A9C" w:rsidP="00F22C4C">
      <w:pPr>
        <w:jc w:val="center"/>
        <w:rPr>
          <w:rFonts w:ascii="Arial Black" w:hAnsi="Arial Black"/>
          <w:sz w:val="36"/>
          <w:szCs w:val="28"/>
        </w:rPr>
      </w:pPr>
      <w:r>
        <w:rPr>
          <w:rFonts w:ascii="Arial Black" w:hAnsi="Arial Black"/>
          <w:sz w:val="36"/>
          <w:szCs w:val="28"/>
        </w:rPr>
        <w:fldChar w:fldCharType="end"/>
      </w:r>
    </w:p>
    <w:p w14:paraId="108D91C6" w14:textId="21846D7D" w:rsidR="00F22C4C" w:rsidRDefault="009307F0" w:rsidP="009307F0">
      <w:pPr>
        <w:pStyle w:val="Ttulo2"/>
      </w:pPr>
      <w:bookmarkStart w:id="0" w:name="_Toc221548870"/>
      <w:r w:rsidRPr="00AC2288">
        <w:rPr>
          <w:highlight w:val="yellow"/>
        </w:rPr>
        <w:t>Marco Legal y Fundamentos del ENI</w:t>
      </w:r>
      <w:bookmarkEnd w:id="0"/>
    </w:p>
    <w:p w14:paraId="0C45D444" w14:textId="6F0500B6" w:rsidR="009307F0" w:rsidRDefault="009307F0" w:rsidP="009307F0">
      <w:r w:rsidRPr="00482915">
        <w:rPr>
          <w:highlight w:val="yellow"/>
        </w:rPr>
        <w:t>La interoperabilidad en España se rige por el Real Decreto 4/2010 (ENI), que desarrolla los principios de las leyes 39/2015 (LPACAP) y 40/2015 (LRJSP). Este marco asegura que los sistemas de información de las Administraciones Públicas cooperen eficazmente.</w:t>
      </w:r>
      <w:r w:rsidR="00482915" w:rsidRPr="00482915">
        <w:rPr>
          <w:highlight w:val="yellow"/>
        </w:rPr>
        <w:t xml:space="preserve"> S</w:t>
      </w:r>
      <w:r w:rsidR="00482915" w:rsidRPr="00482915">
        <w:rPr>
          <w:highlight w:val="yellow"/>
        </w:rPr>
        <w:t>egún el Art. 6 del RD 4/2010, las dimensiones son: Organizativa, Semántica y Técnica</w:t>
      </w:r>
      <w:r w:rsidR="00482915" w:rsidRPr="00482915">
        <w:rPr>
          <w:highlight w:val="yellow"/>
        </w:rPr>
        <w:t>.</w:t>
      </w:r>
    </w:p>
    <w:p w14:paraId="19BE45AB" w14:textId="78FA8A97" w:rsidR="009307F0" w:rsidRDefault="009307F0" w:rsidP="009307F0">
      <w:r w:rsidRPr="009307F0">
        <w:t>Objetivos Estratégicos del ENI:</w:t>
      </w:r>
    </w:p>
    <w:p w14:paraId="298ABEB3" w14:textId="7B35936D" w:rsidR="009307F0" w:rsidRDefault="009307F0" w:rsidP="009307F0">
      <w:pPr>
        <w:pStyle w:val="Prrafodelista"/>
        <w:numPr>
          <w:ilvl w:val="0"/>
          <w:numId w:val="1"/>
        </w:numPr>
      </w:pPr>
      <w:r w:rsidRPr="00121502">
        <w:rPr>
          <w:b/>
          <w:bCs/>
        </w:rPr>
        <w:t>Mínimos de interoperabilidad</w:t>
      </w:r>
      <w:r w:rsidRPr="009307F0">
        <w:t>: Establecimiento de un punto de partida común para todas las AAPP.</w:t>
      </w:r>
    </w:p>
    <w:p w14:paraId="4598E6C6" w14:textId="56CD8A51" w:rsidR="009307F0" w:rsidRDefault="009307F0" w:rsidP="009307F0">
      <w:pPr>
        <w:pStyle w:val="Prrafodelista"/>
        <w:numPr>
          <w:ilvl w:val="0"/>
          <w:numId w:val="1"/>
        </w:numPr>
      </w:pPr>
      <w:r w:rsidRPr="00121502">
        <w:rPr>
          <w:b/>
          <w:bCs/>
        </w:rPr>
        <w:t>Impacto mínimo</w:t>
      </w:r>
      <w:r w:rsidRPr="009307F0">
        <w:t>: Facilitar la adopción rápida sin alterar drásticamente las estructuras existentes.</w:t>
      </w:r>
    </w:p>
    <w:p w14:paraId="0785E827" w14:textId="1B38043C" w:rsidR="009307F0" w:rsidRDefault="009307F0" w:rsidP="009307F0">
      <w:pPr>
        <w:pStyle w:val="Prrafodelista"/>
        <w:numPr>
          <w:ilvl w:val="0"/>
          <w:numId w:val="1"/>
        </w:numPr>
      </w:pPr>
      <w:r w:rsidRPr="00121502">
        <w:rPr>
          <w:b/>
          <w:bCs/>
        </w:rPr>
        <w:t>Evolución tecnológica</w:t>
      </w:r>
      <w:r w:rsidRPr="009307F0">
        <w:t>: Adaptación continua según el progreso de los servicios de Administración Electrónica y las infraestructuras TIC.</w:t>
      </w:r>
    </w:p>
    <w:p w14:paraId="63D3F612" w14:textId="77777777" w:rsidR="009307F0" w:rsidRDefault="009307F0" w:rsidP="009307F0"/>
    <w:p w14:paraId="566711F1" w14:textId="3B771D82" w:rsidR="009307F0" w:rsidRDefault="009307F0" w:rsidP="009307F0">
      <w:r w:rsidRPr="009307F0">
        <w:t>Obligaciones de Control y Transparencia:</w:t>
      </w:r>
    </w:p>
    <w:p w14:paraId="05AE8B9C" w14:textId="4B014FDA" w:rsidR="009307F0" w:rsidRPr="008F710A" w:rsidRDefault="009307F0" w:rsidP="009307F0">
      <w:pPr>
        <w:pStyle w:val="Prrafodelista"/>
        <w:numPr>
          <w:ilvl w:val="0"/>
          <w:numId w:val="2"/>
        </w:numPr>
        <w:rPr>
          <w:highlight w:val="yellow"/>
        </w:rPr>
      </w:pPr>
      <w:r w:rsidRPr="008F710A">
        <w:rPr>
          <w:b/>
          <w:bCs/>
          <w:highlight w:val="yellow"/>
        </w:rPr>
        <w:lastRenderedPageBreak/>
        <w:t>Auditoría de Conformidad (Art. 26):</w:t>
      </w:r>
      <w:r w:rsidRPr="008F710A">
        <w:rPr>
          <w:highlight w:val="yellow"/>
        </w:rPr>
        <w:t xml:space="preserve"> Los sistemas deben someterse a auditorías periódicas (internas o externas)</w:t>
      </w:r>
      <w:r w:rsidR="008F710A">
        <w:rPr>
          <w:highlight w:val="yellow"/>
        </w:rPr>
        <w:t xml:space="preserve"> </w:t>
      </w:r>
      <w:r w:rsidR="008F710A" w:rsidRPr="008F710A">
        <w:rPr>
          <w:b/>
          <w:bCs/>
          <w:highlight w:val="yellow"/>
        </w:rPr>
        <w:t>obligatorias</w:t>
      </w:r>
      <w:r w:rsidRPr="008F710A">
        <w:rPr>
          <w:highlight w:val="yellow"/>
        </w:rPr>
        <w:t xml:space="preserve"> para verificar el cumplimiento del RD 4/2010 y sus </w:t>
      </w:r>
      <w:proofErr w:type="spellStart"/>
      <w:r w:rsidRPr="008F710A">
        <w:rPr>
          <w:highlight w:val="yellow"/>
        </w:rPr>
        <w:t>NTIs</w:t>
      </w:r>
      <w:proofErr w:type="spellEnd"/>
      <w:r w:rsidRPr="008F710A">
        <w:rPr>
          <w:highlight w:val="yellow"/>
        </w:rPr>
        <w:t>.</w:t>
      </w:r>
    </w:p>
    <w:p w14:paraId="57D5CB61" w14:textId="7D8D4C29" w:rsidR="009307F0" w:rsidRDefault="009307F0" w:rsidP="009307F0">
      <w:pPr>
        <w:pStyle w:val="Prrafodelista"/>
        <w:numPr>
          <w:ilvl w:val="0"/>
          <w:numId w:val="2"/>
        </w:numPr>
      </w:pPr>
      <w:r w:rsidRPr="00121502">
        <w:rPr>
          <w:b/>
          <w:bCs/>
        </w:rPr>
        <w:t>Publicidad de la Conformidad (Art. 28):</w:t>
      </w:r>
      <w:r w:rsidRPr="009307F0">
        <w:t xml:space="preserve"> Las Administraciones están obligadas a publicar en sus Sedes Electrónicas las declaraciones de conformidad y distintivos de interoperabilidad obtenidos.</w:t>
      </w:r>
    </w:p>
    <w:p w14:paraId="435EC976" w14:textId="2810F024" w:rsidR="00F53B5D" w:rsidRDefault="00F53B5D" w:rsidP="00F53B5D">
      <w:pPr>
        <w:pStyle w:val="Prrafodelista"/>
        <w:numPr>
          <w:ilvl w:val="0"/>
          <w:numId w:val="2"/>
        </w:numPr>
      </w:pPr>
      <w:r w:rsidRPr="00F53B5D">
        <w:rPr>
          <w:b/>
          <w:bCs/>
        </w:rPr>
        <w:t>Personal Auditor</w:t>
      </w:r>
      <w:r w:rsidRPr="00F53B5D">
        <w:t>: Debe poseer conocimientos probados de los requisitos del RD 4/2010 y sus NTI</w:t>
      </w:r>
      <w:r>
        <w:t>.</w:t>
      </w:r>
    </w:p>
    <w:p w14:paraId="2779E277" w14:textId="77777777" w:rsidR="00F53B5D" w:rsidRDefault="00F53B5D" w:rsidP="009307F0"/>
    <w:p w14:paraId="4DF470FC" w14:textId="4FDA9940" w:rsidR="009307F0" w:rsidRDefault="009307F0" w:rsidP="009307F0">
      <w:pPr>
        <w:pStyle w:val="Ttulo2"/>
      </w:pPr>
      <w:bookmarkStart w:id="1" w:name="_Toc221548871"/>
      <w:r w:rsidRPr="002C3509">
        <w:rPr>
          <w:highlight w:val="yellow"/>
        </w:rPr>
        <w:t>Clasificación de Controles de Interoperabilidad</w:t>
      </w:r>
      <w:bookmarkEnd w:id="1"/>
    </w:p>
    <w:p w14:paraId="566FC223" w14:textId="3E74C0CD" w:rsidR="00854B7E" w:rsidRDefault="00854B7E" w:rsidP="009307F0">
      <w:r w:rsidRPr="00854B7E">
        <w:t xml:space="preserve">Los controles definidos en la Guía de Auditoría del ENI se agrupan en </w:t>
      </w:r>
      <w:r w:rsidRPr="002C3509">
        <w:rPr>
          <w:highlight w:val="yellow"/>
        </w:rPr>
        <w:t>tres dimensiones críticas para la gestión técnica:</w:t>
      </w:r>
    </w:p>
    <w:tbl>
      <w:tblPr>
        <w:tblStyle w:val="Tablaconcuadrcula"/>
        <w:tblW w:w="0" w:type="auto"/>
        <w:tblLook w:val="04A0" w:firstRow="1" w:lastRow="0" w:firstColumn="1" w:lastColumn="0" w:noHBand="0" w:noVBand="1"/>
      </w:tblPr>
      <w:tblGrid>
        <w:gridCol w:w="2000"/>
        <w:gridCol w:w="4153"/>
        <w:gridCol w:w="2341"/>
      </w:tblGrid>
      <w:tr w:rsidR="00854B7E" w:rsidRPr="00854B7E" w14:paraId="165BD55B" w14:textId="77777777" w:rsidTr="00813C1E">
        <w:tc>
          <w:tcPr>
            <w:tcW w:w="0" w:type="auto"/>
          </w:tcPr>
          <w:p w14:paraId="43E14CE2" w14:textId="5E108ED8" w:rsidR="00854B7E" w:rsidRPr="00854B7E" w:rsidRDefault="00854B7E" w:rsidP="00854B7E">
            <w:pPr>
              <w:jc w:val="center"/>
              <w:rPr>
                <w:b/>
                <w:bCs/>
              </w:rPr>
            </w:pPr>
            <w:r>
              <w:rPr>
                <w:b/>
                <w:bCs/>
              </w:rPr>
              <w:t>Categoría</w:t>
            </w:r>
          </w:p>
        </w:tc>
        <w:tc>
          <w:tcPr>
            <w:tcW w:w="0" w:type="auto"/>
          </w:tcPr>
          <w:p w14:paraId="354F42A2" w14:textId="2D1A6560" w:rsidR="00854B7E" w:rsidRPr="00854B7E" w:rsidRDefault="00854B7E" w:rsidP="00854B7E">
            <w:pPr>
              <w:jc w:val="center"/>
              <w:rPr>
                <w:b/>
                <w:bCs/>
              </w:rPr>
            </w:pPr>
            <w:r>
              <w:rPr>
                <w:b/>
                <w:bCs/>
              </w:rPr>
              <w:t>Alcance</w:t>
            </w:r>
          </w:p>
        </w:tc>
        <w:tc>
          <w:tcPr>
            <w:tcW w:w="0" w:type="auto"/>
          </w:tcPr>
          <w:p w14:paraId="3CBC1419" w14:textId="4901925F" w:rsidR="00854B7E" w:rsidRPr="00854B7E" w:rsidRDefault="00854B7E" w:rsidP="00854B7E">
            <w:pPr>
              <w:jc w:val="center"/>
              <w:rPr>
                <w:b/>
                <w:bCs/>
              </w:rPr>
            </w:pPr>
            <w:r>
              <w:rPr>
                <w:b/>
                <w:bCs/>
              </w:rPr>
              <w:t>Ejemplos de Controles (Codificados)</w:t>
            </w:r>
          </w:p>
        </w:tc>
      </w:tr>
      <w:tr w:rsidR="00854B7E" w14:paraId="6D41A719" w14:textId="77777777" w:rsidTr="000B22E4">
        <w:tc>
          <w:tcPr>
            <w:tcW w:w="0" w:type="auto"/>
            <w:shd w:val="clear" w:color="auto" w:fill="FFFF00"/>
          </w:tcPr>
          <w:p w14:paraId="5C14C877" w14:textId="0CC27AEC" w:rsidR="00854B7E" w:rsidRPr="00854B7E" w:rsidRDefault="00854B7E" w:rsidP="009307F0">
            <w:pPr>
              <w:rPr>
                <w:b/>
                <w:bCs/>
              </w:rPr>
            </w:pPr>
            <w:r>
              <w:rPr>
                <w:b/>
                <w:bCs/>
              </w:rPr>
              <w:t>Marco Organizativo</w:t>
            </w:r>
          </w:p>
        </w:tc>
        <w:tc>
          <w:tcPr>
            <w:tcW w:w="0" w:type="auto"/>
            <w:shd w:val="clear" w:color="auto" w:fill="FFFF00"/>
          </w:tcPr>
          <w:p w14:paraId="245B7737" w14:textId="5BA445B8" w:rsidR="00854B7E" w:rsidRDefault="00854B7E" w:rsidP="009307F0">
            <w:r w:rsidRPr="00854B7E">
              <w:t>Medidas horizontales, aspectos jurídicos y gobernanza. Para entidades que usan nodos comunes (PID, SIR, etc.), el cumplimiento se alcanza mediante la adhesión a convenios.</w:t>
            </w:r>
          </w:p>
        </w:tc>
        <w:tc>
          <w:tcPr>
            <w:tcW w:w="0" w:type="auto"/>
          </w:tcPr>
          <w:p w14:paraId="71205BA6" w14:textId="77777777" w:rsidR="00813C1E" w:rsidRDefault="00854B7E" w:rsidP="009307F0">
            <w:r w:rsidRPr="00854B7E">
              <w:t>org.jur.1 (Servicios)</w:t>
            </w:r>
          </w:p>
          <w:p w14:paraId="63F947BA" w14:textId="7ED29EBB" w:rsidR="00854B7E" w:rsidRDefault="00854B7E" w:rsidP="009307F0">
            <w:r w:rsidRPr="00854B7E">
              <w:t>&lt;</w:t>
            </w:r>
            <w:proofErr w:type="spellStart"/>
            <w:r w:rsidRPr="00854B7E">
              <w:t>br</w:t>
            </w:r>
            <w:proofErr w:type="spellEnd"/>
            <w:r w:rsidRPr="00854B7E">
              <w:t>&gt;org.reu.3 (Directorios)</w:t>
            </w:r>
          </w:p>
        </w:tc>
      </w:tr>
      <w:tr w:rsidR="00854B7E" w14:paraId="33E39528" w14:textId="77777777" w:rsidTr="000B22E4">
        <w:tc>
          <w:tcPr>
            <w:tcW w:w="0" w:type="auto"/>
            <w:shd w:val="clear" w:color="auto" w:fill="FFFF00"/>
          </w:tcPr>
          <w:p w14:paraId="0AB465F1" w14:textId="056C2017" w:rsidR="00854B7E" w:rsidRPr="00854B7E" w:rsidRDefault="00854B7E" w:rsidP="009307F0">
            <w:pPr>
              <w:rPr>
                <w:b/>
                <w:bCs/>
              </w:rPr>
            </w:pPr>
            <w:r w:rsidRPr="00854B7E">
              <w:rPr>
                <w:b/>
                <w:bCs/>
              </w:rPr>
              <w:t>Marco Operacional</w:t>
            </w:r>
          </w:p>
        </w:tc>
        <w:tc>
          <w:tcPr>
            <w:tcW w:w="0" w:type="auto"/>
            <w:shd w:val="clear" w:color="auto" w:fill="FFFF00"/>
          </w:tcPr>
          <w:p w14:paraId="45B78BC4" w14:textId="7DFE8B8E" w:rsidR="00854B7E" w:rsidRDefault="00854B7E" w:rsidP="009307F0">
            <w:r w:rsidRPr="00854B7E">
              <w:t>Procedimientos de diseño, implementación y explotación. Incluye la gestión del ciclo de vida del expediente y documento.</w:t>
            </w:r>
          </w:p>
        </w:tc>
        <w:tc>
          <w:tcPr>
            <w:tcW w:w="0" w:type="auto"/>
          </w:tcPr>
          <w:p w14:paraId="4454A88A" w14:textId="77777777" w:rsidR="00813C1E" w:rsidRDefault="00854B7E" w:rsidP="009307F0">
            <w:proofErr w:type="gramStart"/>
            <w:r w:rsidRPr="00854B7E">
              <w:t>op.expd</w:t>
            </w:r>
            <w:proofErr w:type="gramEnd"/>
            <w:r w:rsidRPr="00854B7E">
              <w:t>.1</w:t>
            </w:r>
            <w:r w:rsidR="00813C1E">
              <w:t xml:space="preserve"> </w:t>
            </w:r>
            <w:r w:rsidRPr="00854B7E">
              <w:t>(Índice)</w:t>
            </w:r>
          </w:p>
          <w:p w14:paraId="2D79C767" w14:textId="3B9E55F7" w:rsidR="00854B7E" w:rsidRDefault="00854B7E" w:rsidP="009307F0">
            <w:r w:rsidRPr="00854B7E">
              <w:t>&lt;</w:t>
            </w:r>
            <w:proofErr w:type="spellStart"/>
            <w:r w:rsidRPr="00854B7E">
              <w:t>br</w:t>
            </w:r>
            <w:proofErr w:type="spellEnd"/>
            <w:r w:rsidRPr="00854B7E">
              <w:t>&gt;op.doc.1 (Identificación)</w:t>
            </w:r>
          </w:p>
        </w:tc>
      </w:tr>
      <w:tr w:rsidR="00854B7E" w14:paraId="3690FF02" w14:textId="77777777" w:rsidTr="000B22E4">
        <w:tc>
          <w:tcPr>
            <w:tcW w:w="0" w:type="auto"/>
            <w:shd w:val="clear" w:color="auto" w:fill="FFFF00"/>
          </w:tcPr>
          <w:p w14:paraId="3CDDF819" w14:textId="65876AFA" w:rsidR="00854B7E" w:rsidRPr="00854B7E" w:rsidRDefault="00813C1E" w:rsidP="009307F0">
            <w:pPr>
              <w:rPr>
                <w:b/>
                <w:bCs/>
              </w:rPr>
            </w:pPr>
            <w:r w:rsidRPr="00813C1E">
              <w:rPr>
                <w:b/>
                <w:bCs/>
              </w:rPr>
              <w:t>Medidas Técnicas</w:t>
            </w:r>
          </w:p>
        </w:tc>
        <w:tc>
          <w:tcPr>
            <w:tcW w:w="0" w:type="auto"/>
            <w:shd w:val="clear" w:color="auto" w:fill="FFFF00"/>
          </w:tcPr>
          <w:p w14:paraId="2A83A562" w14:textId="232D7B0F" w:rsidR="00854B7E" w:rsidRDefault="00813C1E" w:rsidP="009307F0">
            <w:r w:rsidRPr="00813C1E">
              <w:t>Requisitos tecnológicos estrictos: formatos, protocolos de comunicación y estándares.</w:t>
            </w:r>
          </w:p>
        </w:tc>
        <w:tc>
          <w:tcPr>
            <w:tcW w:w="0" w:type="auto"/>
          </w:tcPr>
          <w:p w14:paraId="4CC4B2BA" w14:textId="77777777" w:rsidR="00813C1E" w:rsidRDefault="00813C1E" w:rsidP="009307F0">
            <w:r w:rsidRPr="00813C1E">
              <w:t xml:space="preserve">tec.est.1 </w:t>
            </w:r>
          </w:p>
          <w:p w14:paraId="09A65161" w14:textId="4C8CB33B" w:rsidR="00813C1E" w:rsidRDefault="00813C1E" w:rsidP="009307F0">
            <w:r w:rsidRPr="00813C1E">
              <w:t>(Estándares)</w:t>
            </w:r>
          </w:p>
          <w:p w14:paraId="176C7353" w14:textId="3A23C76C" w:rsidR="00854B7E" w:rsidRDefault="00813C1E" w:rsidP="009307F0">
            <w:r w:rsidRPr="00813C1E">
              <w:t>&lt;</w:t>
            </w:r>
            <w:proofErr w:type="spellStart"/>
            <w:r w:rsidRPr="00813C1E">
              <w:t>br</w:t>
            </w:r>
            <w:proofErr w:type="spellEnd"/>
            <w:r w:rsidRPr="00813C1E">
              <w:t>&gt;tec.com.1 (Redes)</w:t>
            </w:r>
          </w:p>
        </w:tc>
      </w:tr>
    </w:tbl>
    <w:p w14:paraId="6CB5FC39" w14:textId="77777777" w:rsidR="00854B7E" w:rsidRDefault="00854B7E" w:rsidP="009307F0"/>
    <w:p w14:paraId="30BC2B5B" w14:textId="22B6BC3D" w:rsidR="00813C1E" w:rsidRDefault="00DA323A" w:rsidP="00DA323A">
      <w:pPr>
        <w:pStyle w:val="Ttulo2"/>
      </w:pPr>
      <w:bookmarkStart w:id="2" w:name="_Toc221548872"/>
      <w:r w:rsidRPr="00831454">
        <w:rPr>
          <w:highlight w:val="yellow"/>
        </w:rPr>
        <w:t>NTI de Marco Organizativo: Reutilización y Publicación</w:t>
      </w:r>
      <w:bookmarkEnd w:id="2"/>
    </w:p>
    <w:p w14:paraId="22B642AD" w14:textId="1387D568" w:rsidR="00DA323A" w:rsidRDefault="005D55F3" w:rsidP="00DA323A">
      <w:r w:rsidRPr="005D55F3">
        <w:t>El ENI obliga a las Administraciones a compartir sus activos tecnológicos bajo condiciones de máxima eficiencia.</w:t>
      </w:r>
    </w:p>
    <w:p w14:paraId="30C41005" w14:textId="3858A3D7" w:rsidR="005D55F3" w:rsidRPr="00831454" w:rsidRDefault="005D55F3" w:rsidP="005D55F3">
      <w:pPr>
        <w:pStyle w:val="Prrafodelista"/>
        <w:numPr>
          <w:ilvl w:val="0"/>
          <w:numId w:val="3"/>
        </w:numPr>
        <w:rPr>
          <w:highlight w:val="yellow"/>
        </w:rPr>
      </w:pPr>
      <w:r w:rsidRPr="00831454">
        <w:rPr>
          <w:b/>
          <w:bCs/>
          <w:highlight w:val="yellow"/>
        </w:rPr>
        <w:t>Licenciamiento de Activos:</w:t>
      </w:r>
      <w:r w:rsidRPr="00831454">
        <w:rPr>
          <w:highlight w:val="yellow"/>
        </w:rPr>
        <w:t xml:space="preserve"> Las licencias (preferentemente </w:t>
      </w:r>
      <w:r w:rsidRPr="00F53B5D">
        <w:rPr>
          <w:b/>
          <w:bCs/>
          <w:highlight w:val="yellow"/>
        </w:rPr>
        <w:t xml:space="preserve">EUPL - </w:t>
      </w:r>
      <w:proofErr w:type="spellStart"/>
      <w:r w:rsidRPr="00F53B5D">
        <w:rPr>
          <w:b/>
          <w:bCs/>
          <w:highlight w:val="yellow"/>
        </w:rPr>
        <w:t>European</w:t>
      </w:r>
      <w:proofErr w:type="spellEnd"/>
      <w:r w:rsidRPr="00F53B5D">
        <w:rPr>
          <w:b/>
          <w:bCs/>
          <w:highlight w:val="yellow"/>
        </w:rPr>
        <w:t xml:space="preserve"> Union Public </w:t>
      </w:r>
      <w:proofErr w:type="spellStart"/>
      <w:r w:rsidRPr="00F53B5D">
        <w:rPr>
          <w:b/>
          <w:bCs/>
          <w:highlight w:val="yellow"/>
        </w:rPr>
        <w:t>Licence</w:t>
      </w:r>
      <w:proofErr w:type="spellEnd"/>
      <w:r w:rsidRPr="00831454">
        <w:rPr>
          <w:highlight w:val="yellow"/>
        </w:rPr>
        <w:t>) deben incluir:</w:t>
      </w:r>
    </w:p>
    <w:p w14:paraId="77586E53" w14:textId="6A9E1571" w:rsidR="005D55F3" w:rsidRPr="00121502" w:rsidRDefault="00894997" w:rsidP="005D55F3">
      <w:pPr>
        <w:pStyle w:val="Prrafodelista"/>
        <w:numPr>
          <w:ilvl w:val="1"/>
          <w:numId w:val="3"/>
        </w:numPr>
        <w:rPr>
          <w:b/>
          <w:bCs/>
        </w:rPr>
      </w:pPr>
      <w:r w:rsidRPr="00121502">
        <w:rPr>
          <w:b/>
          <w:bCs/>
        </w:rPr>
        <w:t>Fomento de la reutilización y aprovechamiento.</w:t>
      </w:r>
    </w:p>
    <w:p w14:paraId="7C2CC980" w14:textId="7F3557D7" w:rsidR="00894997" w:rsidRPr="00121502" w:rsidRDefault="00894997" w:rsidP="005D55F3">
      <w:pPr>
        <w:pStyle w:val="Prrafodelista"/>
        <w:numPr>
          <w:ilvl w:val="1"/>
          <w:numId w:val="3"/>
        </w:numPr>
        <w:rPr>
          <w:b/>
          <w:bCs/>
        </w:rPr>
      </w:pPr>
      <w:r w:rsidRPr="00121502">
        <w:rPr>
          <w:b/>
          <w:bCs/>
        </w:rPr>
        <w:t>Protección contra la apropiación: Cláusulas que prohíban a terceros adquirir derechos exclusivos de propiedad.</w:t>
      </w:r>
    </w:p>
    <w:p w14:paraId="5D28C17A" w14:textId="1D1EC93B" w:rsidR="00894997" w:rsidRPr="00121502" w:rsidRDefault="00894997" w:rsidP="005D55F3">
      <w:pPr>
        <w:pStyle w:val="Prrafodelista"/>
        <w:numPr>
          <w:ilvl w:val="1"/>
          <w:numId w:val="3"/>
        </w:numPr>
        <w:rPr>
          <w:b/>
          <w:bCs/>
        </w:rPr>
      </w:pPr>
      <w:r w:rsidRPr="00121502">
        <w:rPr>
          <w:b/>
          <w:bCs/>
        </w:rPr>
        <w:t>Exoneración de responsabilidad del cedente y ausencia de obligación de asistencia técnica.</w:t>
      </w:r>
    </w:p>
    <w:p w14:paraId="328E5523" w14:textId="017ED3A2" w:rsidR="00894997" w:rsidRPr="000B22E4" w:rsidRDefault="00894997" w:rsidP="00894997">
      <w:pPr>
        <w:pStyle w:val="Prrafodelista"/>
        <w:numPr>
          <w:ilvl w:val="0"/>
          <w:numId w:val="3"/>
        </w:numPr>
        <w:rPr>
          <w:highlight w:val="yellow"/>
        </w:rPr>
      </w:pPr>
      <w:r w:rsidRPr="000B22E4">
        <w:rPr>
          <w:b/>
          <w:bCs/>
          <w:highlight w:val="yellow"/>
        </w:rPr>
        <w:t>Difusión y Forjas</w:t>
      </w:r>
      <w:r w:rsidRPr="000B22E4">
        <w:rPr>
          <w:highlight w:val="yellow"/>
        </w:rPr>
        <w:t xml:space="preserve">: La publicación de aplicaciones y su código fuente </w:t>
      </w:r>
      <w:r w:rsidRPr="00C50947">
        <w:rPr>
          <w:b/>
          <w:bCs/>
          <w:highlight w:val="yellow"/>
        </w:rPr>
        <w:t xml:space="preserve">debe realizarse en el Centro de Transferencia de Tecnología (CTT) o en el servicio </w:t>
      </w:r>
      <w:proofErr w:type="spellStart"/>
      <w:r w:rsidRPr="00C50947">
        <w:rPr>
          <w:b/>
          <w:bCs/>
          <w:highlight w:val="yellow"/>
        </w:rPr>
        <w:t>Joinup</w:t>
      </w:r>
      <w:proofErr w:type="spellEnd"/>
      <w:r w:rsidRPr="000B22E4">
        <w:rPr>
          <w:highlight w:val="yellow"/>
        </w:rPr>
        <w:t>. La disponibilidad del código en forjas públicas es una evidencia clave de cumplimiento (org.reu.4).</w:t>
      </w:r>
    </w:p>
    <w:p w14:paraId="304C81B3" w14:textId="1733EE08" w:rsidR="00894997" w:rsidRDefault="00894997" w:rsidP="00894997">
      <w:pPr>
        <w:pStyle w:val="Prrafodelista"/>
        <w:numPr>
          <w:ilvl w:val="0"/>
          <w:numId w:val="3"/>
        </w:numPr>
        <w:rPr>
          <w:highlight w:val="yellow"/>
        </w:rPr>
      </w:pPr>
      <w:r w:rsidRPr="00831454">
        <w:rPr>
          <w:b/>
          <w:bCs/>
          <w:highlight w:val="yellow"/>
        </w:rPr>
        <w:t>Nodos de Interoperabilidad:</w:t>
      </w:r>
      <w:r w:rsidRPr="00831454">
        <w:rPr>
          <w:highlight w:val="yellow"/>
        </w:rPr>
        <w:t xml:space="preserve"> Se consideran infraestructuras comunes de adhesión obligatoria (vía convenios) la Plataforma de Intermediación de Datos (PID), el Sistema de Interconexión de Registros (SIR), la Oficina de Registro Virtual (ORVE) y el Registro Electrónico Común (REC).</w:t>
      </w:r>
    </w:p>
    <w:p w14:paraId="59A98800" w14:textId="3D92C33E" w:rsidR="00C03A87" w:rsidRPr="000D52F3" w:rsidRDefault="00C03A87" w:rsidP="00C03A87">
      <w:pPr>
        <w:rPr>
          <w:highlight w:val="yellow"/>
        </w:rPr>
      </w:pPr>
      <w:r w:rsidRPr="000D52F3">
        <w:rPr>
          <w:b/>
          <w:bCs/>
          <w:highlight w:val="yellow"/>
        </w:rPr>
        <w:t>PID (Plataforma de Intermediación de Datos):</w:t>
      </w:r>
      <w:r w:rsidRPr="000D52F3">
        <w:rPr>
          <w:highlight w:val="yellow"/>
        </w:rPr>
        <w:t xml:space="preserve"> Su función es evitar que el ciudadano aporte documentos que ya obran en poder de la Administración (títulos, identidad, etc.)</w:t>
      </w:r>
    </w:p>
    <w:p w14:paraId="21280D6F" w14:textId="77777777" w:rsidR="00894997" w:rsidRDefault="00894997" w:rsidP="00894997"/>
    <w:p w14:paraId="7FC455C4" w14:textId="6A1D4FE6" w:rsidR="00894997" w:rsidRDefault="00894997" w:rsidP="00894997">
      <w:pPr>
        <w:pStyle w:val="Ttulo2"/>
      </w:pPr>
      <w:bookmarkStart w:id="3" w:name="_Toc221548873"/>
      <w:r w:rsidRPr="00831454">
        <w:rPr>
          <w:highlight w:val="yellow"/>
        </w:rPr>
        <w:t>NTI de Marco Operacional: Documento y Expediente Electrónico</w:t>
      </w:r>
      <w:bookmarkEnd w:id="3"/>
    </w:p>
    <w:p w14:paraId="6990E6DE" w14:textId="692D8446" w:rsidR="00894997" w:rsidRDefault="00894997" w:rsidP="00894997">
      <w:r w:rsidRPr="00894997">
        <w:t>La gestión documental se estructura para garantizar la validez jurídica a largo plazo.</w:t>
      </w:r>
    </w:p>
    <w:p w14:paraId="1583FE0B" w14:textId="34789AFB" w:rsidR="00894997" w:rsidRPr="00740335" w:rsidRDefault="00894997" w:rsidP="00894997">
      <w:pPr>
        <w:pStyle w:val="Prrafodelista"/>
        <w:numPr>
          <w:ilvl w:val="0"/>
          <w:numId w:val="4"/>
        </w:numPr>
        <w:rPr>
          <w:highlight w:val="yellow"/>
        </w:rPr>
      </w:pPr>
      <w:r w:rsidRPr="00740335">
        <w:rPr>
          <w:b/>
          <w:bCs/>
          <w:highlight w:val="yellow"/>
        </w:rPr>
        <w:t>Expediente Electrónico</w:t>
      </w:r>
      <w:r w:rsidRPr="00740335">
        <w:rPr>
          <w:highlight w:val="yellow"/>
        </w:rPr>
        <w:t>: Su componente crítico es el índice electrónico firmado. Este garantiza la integridad del conjunto y permite su recuperación estructurada.</w:t>
      </w:r>
    </w:p>
    <w:p w14:paraId="1A47F5AF" w14:textId="407368D8" w:rsidR="00894997" w:rsidRPr="000D52F3" w:rsidRDefault="00894997" w:rsidP="00894997">
      <w:pPr>
        <w:pStyle w:val="Prrafodelista"/>
        <w:numPr>
          <w:ilvl w:val="0"/>
          <w:numId w:val="4"/>
        </w:numPr>
        <w:rPr>
          <w:highlight w:val="yellow"/>
        </w:rPr>
      </w:pPr>
      <w:r w:rsidRPr="000D52F3">
        <w:rPr>
          <w:b/>
          <w:bCs/>
          <w:highlight w:val="yellow"/>
        </w:rPr>
        <w:t>Documento Electrónico</w:t>
      </w:r>
      <w:r w:rsidRPr="000D52F3">
        <w:rPr>
          <w:highlight w:val="yellow"/>
        </w:rPr>
        <w:t>: Requiere una identificación única e inequívoca, clasificación según un cuadro de funciones aprobado y periodos de conservación definidos.</w:t>
      </w:r>
      <w:r w:rsidR="00166654" w:rsidRPr="000D52F3">
        <w:rPr>
          <w:highlight w:val="yellow"/>
        </w:rPr>
        <w:t xml:space="preserve"> U</w:t>
      </w:r>
      <w:r w:rsidR="00166654" w:rsidRPr="000D52F3">
        <w:rPr>
          <w:highlight w:val="yellow"/>
        </w:rPr>
        <w:t>n documento electrónico siempre requiere: Firma electrónica, Metadatos y Referencia temporal</w:t>
      </w:r>
      <w:r w:rsidR="00166654" w:rsidRPr="000D52F3">
        <w:rPr>
          <w:highlight w:val="yellow"/>
        </w:rPr>
        <w:t>.</w:t>
      </w:r>
    </w:p>
    <w:p w14:paraId="3C709E64" w14:textId="612FCBEC" w:rsidR="00894997" w:rsidRPr="00C03A87" w:rsidRDefault="00894997" w:rsidP="00894997">
      <w:pPr>
        <w:pStyle w:val="Prrafodelista"/>
        <w:numPr>
          <w:ilvl w:val="0"/>
          <w:numId w:val="4"/>
        </w:numPr>
        <w:rPr>
          <w:highlight w:val="yellow"/>
        </w:rPr>
      </w:pPr>
      <w:r w:rsidRPr="00C03A87">
        <w:rPr>
          <w:b/>
          <w:bCs/>
          <w:highlight w:val="yellow"/>
        </w:rPr>
        <w:t>Metadatos Obligatorios</w:t>
      </w:r>
      <w:r w:rsidRPr="00C03A87">
        <w:rPr>
          <w:highlight w:val="yellow"/>
        </w:rPr>
        <w:t xml:space="preserve">: Todo documento debe estar asociado al </w:t>
      </w:r>
      <w:r w:rsidRPr="000D52F3">
        <w:rPr>
          <w:b/>
          <w:bCs/>
          <w:highlight w:val="yellow"/>
        </w:rPr>
        <w:t>e-EMGDE</w:t>
      </w:r>
      <w:r w:rsidRPr="00C03A87">
        <w:rPr>
          <w:highlight w:val="yellow"/>
        </w:rPr>
        <w:t xml:space="preserve"> (Esquema de Metadatos para la Gestión del Documento Electrónico), que define los metadatos mínimos necesarios para su contexto y gestión administrativa.</w:t>
      </w:r>
    </w:p>
    <w:p w14:paraId="31024DE5" w14:textId="77777777" w:rsidR="00894997" w:rsidRDefault="00894997" w:rsidP="00894997"/>
    <w:p w14:paraId="06D29577" w14:textId="57A29737" w:rsidR="00894997" w:rsidRDefault="00894997" w:rsidP="00894997">
      <w:pPr>
        <w:pStyle w:val="Ttulo2"/>
      </w:pPr>
      <w:bookmarkStart w:id="4" w:name="_Toc221548874"/>
      <w:r w:rsidRPr="00014133">
        <w:rPr>
          <w:highlight w:val="yellow"/>
        </w:rPr>
        <w:t>Procesos de Gestión Documental: Digitalización y Copiado</w:t>
      </w:r>
      <w:bookmarkEnd w:id="4"/>
    </w:p>
    <w:p w14:paraId="7F516FB9" w14:textId="23D61C46" w:rsidR="00894997" w:rsidRDefault="00894997" w:rsidP="00B76D86">
      <w:r w:rsidRPr="00894997">
        <w:t>Requisitos técnicos para la validez de la digitalización y copias auténticas:</w:t>
      </w:r>
    </w:p>
    <w:p w14:paraId="006C8076" w14:textId="51E150DE" w:rsidR="00B76D86" w:rsidRPr="00014133" w:rsidRDefault="00B76D86" w:rsidP="00B76D86">
      <w:pPr>
        <w:rPr>
          <w:highlight w:val="yellow"/>
        </w:rPr>
      </w:pPr>
      <w:r w:rsidRPr="00014133">
        <w:rPr>
          <w:highlight w:val="yellow"/>
        </w:rPr>
        <w:t>Especificaciones para Digitalización (tec.est.8):</w:t>
      </w:r>
    </w:p>
    <w:p w14:paraId="245DADD1" w14:textId="5B3688CD" w:rsidR="00B76D86" w:rsidRPr="00014133" w:rsidRDefault="00B76D86" w:rsidP="00B76D86">
      <w:pPr>
        <w:pStyle w:val="Prrafodelista"/>
        <w:numPr>
          <w:ilvl w:val="0"/>
          <w:numId w:val="6"/>
        </w:numPr>
        <w:rPr>
          <w:highlight w:val="yellow"/>
        </w:rPr>
      </w:pPr>
      <w:r w:rsidRPr="00014133">
        <w:rPr>
          <w:b/>
          <w:bCs/>
          <w:highlight w:val="yellow"/>
        </w:rPr>
        <w:t>Resolución mínima</w:t>
      </w:r>
      <w:r w:rsidRPr="00014133">
        <w:rPr>
          <w:highlight w:val="yellow"/>
        </w:rPr>
        <w:t>: 200 píxeles por pulgada (</w:t>
      </w:r>
      <w:proofErr w:type="spellStart"/>
      <w:r w:rsidRPr="00014133">
        <w:rPr>
          <w:highlight w:val="yellow"/>
        </w:rPr>
        <w:t>ppi</w:t>
      </w:r>
      <w:proofErr w:type="spellEnd"/>
      <w:r w:rsidRPr="00014133">
        <w:rPr>
          <w:highlight w:val="yellow"/>
        </w:rPr>
        <w:t>/</w:t>
      </w:r>
      <w:proofErr w:type="spellStart"/>
      <w:r w:rsidRPr="00014133">
        <w:rPr>
          <w:highlight w:val="yellow"/>
        </w:rPr>
        <w:t>ppp</w:t>
      </w:r>
      <w:proofErr w:type="spellEnd"/>
      <w:r w:rsidRPr="00014133">
        <w:rPr>
          <w:highlight w:val="yellow"/>
        </w:rPr>
        <w:t>).</w:t>
      </w:r>
    </w:p>
    <w:p w14:paraId="4D91B58A" w14:textId="66DB6F2F" w:rsidR="00B76D86" w:rsidRDefault="00B76D86" w:rsidP="00B76D86">
      <w:pPr>
        <w:pStyle w:val="Prrafodelista"/>
        <w:numPr>
          <w:ilvl w:val="0"/>
          <w:numId w:val="6"/>
        </w:numPr>
      </w:pPr>
      <w:r w:rsidRPr="00121502">
        <w:rPr>
          <w:b/>
          <w:bCs/>
        </w:rPr>
        <w:t>Modos</w:t>
      </w:r>
      <w:r w:rsidRPr="00B76D86">
        <w:t>: Blanco y negro, color o escala de grises.</w:t>
      </w:r>
    </w:p>
    <w:p w14:paraId="7F2A7C5E" w14:textId="2630F76A" w:rsidR="00B76D86" w:rsidRDefault="00B76D86" w:rsidP="00B76D86">
      <w:pPr>
        <w:pStyle w:val="Prrafodelista"/>
        <w:numPr>
          <w:ilvl w:val="0"/>
          <w:numId w:val="6"/>
        </w:numPr>
      </w:pPr>
      <w:r w:rsidRPr="00121502">
        <w:rPr>
          <w:b/>
          <w:bCs/>
        </w:rPr>
        <w:t>Formatos</w:t>
      </w:r>
      <w:r w:rsidRPr="00B76D86">
        <w:t>: Según los estándares de la NTI de Catálogo de Estándares.</w:t>
      </w:r>
    </w:p>
    <w:p w14:paraId="2170C356" w14:textId="1027E394" w:rsidR="00B76D86" w:rsidRDefault="00B76D86" w:rsidP="00B76D86">
      <w:r w:rsidRPr="00014133">
        <w:rPr>
          <w:b/>
          <w:bCs/>
          <w:highlight w:val="yellow"/>
        </w:rPr>
        <w:t>Copias Electrónicas Auténticas</w:t>
      </w:r>
      <w:r w:rsidRPr="00014133">
        <w:rPr>
          <w:highlight w:val="yellow"/>
        </w:rPr>
        <w:t>: Para la validez de una copia electrónica de un documento en papel, el metadato obligatorio "Estado de elaboración" debe contener obligatoriamente el valor: "Copia electrónica auténtica de documento papel".</w:t>
      </w:r>
    </w:p>
    <w:p w14:paraId="26BC09E8" w14:textId="77777777" w:rsidR="00B76D86" w:rsidRDefault="00B76D86" w:rsidP="00B76D86"/>
    <w:p w14:paraId="7F4DD71D" w14:textId="0E8F7C35" w:rsidR="00B76D86" w:rsidRDefault="00B76D86" w:rsidP="00B76D86">
      <w:pPr>
        <w:pStyle w:val="Ttulo2"/>
      </w:pPr>
      <w:bookmarkStart w:id="5" w:name="_Toc221548875"/>
      <w:r w:rsidRPr="00014133">
        <w:rPr>
          <w:highlight w:val="yellow"/>
        </w:rPr>
        <w:t>NTI de Política de Firma Electrónica y Certificados</w:t>
      </w:r>
      <w:bookmarkEnd w:id="5"/>
    </w:p>
    <w:p w14:paraId="310CA97E" w14:textId="77777777" w:rsidR="00B76D86" w:rsidRDefault="00B76D86" w:rsidP="00B76D86">
      <w:r>
        <w:t>Las políticas regulan la creación y validación de firmas dentro de la organización.</w:t>
      </w:r>
    </w:p>
    <w:p w14:paraId="4DCF0F14" w14:textId="07A83DAF" w:rsidR="00B76D86" w:rsidRDefault="00B76D86" w:rsidP="00B76D86">
      <w:pPr>
        <w:pStyle w:val="Prrafodelista"/>
        <w:numPr>
          <w:ilvl w:val="0"/>
          <w:numId w:val="7"/>
        </w:numPr>
      </w:pPr>
      <w:r w:rsidRPr="00121502">
        <w:rPr>
          <w:b/>
          <w:bCs/>
        </w:rPr>
        <w:t>Adhesión vs. Política Particular</w:t>
      </w:r>
      <w:r>
        <w:t>: Las entidades pueden usar la Política marco de la AGE. Si crean una propia, esta requiere obligatoriamente un informe favorable de la Comisión Sectorial de Administración Electrónica y del Comité Ejecutivo de la Comisión de Estrategia TIC.</w:t>
      </w:r>
    </w:p>
    <w:p w14:paraId="1B8256F9" w14:textId="7FAA3D04" w:rsidR="00B76D86" w:rsidRDefault="00B76D86" w:rsidP="00B76D86">
      <w:pPr>
        <w:pStyle w:val="Prrafodelista"/>
        <w:numPr>
          <w:ilvl w:val="0"/>
          <w:numId w:val="7"/>
        </w:numPr>
      </w:pPr>
      <w:r w:rsidRPr="00121502">
        <w:rPr>
          <w:b/>
          <w:bCs/>
        </w:rPr>
        <w:t>Gestión de la Firma</w:t>
      </w:r>
      <w:r>
        <w:t>: La política debe definir el proceso de redacción, publicación y un repositorio histórico de versiones.</w:t>
      </w:r>
    </w:p>
    <w:p w14:paraId="67055255" w14:textId="0F1F6680" w:rsidR="00482915" w:rsidRDefault="00B76D86" w:rsidP="00482915">
      <w:pPr>
        <w:pStyle w:val="Prrafodelista"/>
        <w:numPr>
          <w:ilvl w:val="0"/>
          <w:numId w:val="7"/>
        </w:numPr>
        <w:rPr>
          <w:highlight w:val="yellow"/>
        </w:rPr>
      </w:pPr>
      <w:r w:rsidRPr="0064486B">
        <w:rPr>
          <w:b/>
          <w:bCs/>
          <w:highlight w:val="yellow"/>
        </w:rPr>
        <w:t>Sellado de Tiempo (Time-</w:t>
      </w:r>
      <w:proofErr w:type="spellStart"/>
      <w:r w:rsidRPr="0064486B">
        <w:rPr>
          <w:b/>
          <w:bCs/>
          <w:highlight w:val="yellow"/>
        </w:rPr>
        <w:t>stamping</w:t>
      </w:r>
      <w:proofErr w:type="spellEnd"/>
      <w:r w:rsidRPr="0064486B">
        <w:rPr>
          <w:b/>
          <w:bCs/>
          <w:highlight w:val="yellow"/>
        </w:rPr>
        <w:t>):</w:t>
      </w:r>
      <w:r w:rsidRPr="0064486B">
        <w:rPr>
          <w:highlight w:val="yellow"/>
        </w:rPr>
        <w:t xml:space="preserve"> Se deben regular los sellos admitidos y establecer periodos de gracia. Es vital para el opositor saber que estos periodos permiten realizar el sellado siempre antes de la caducidad del certificado en el que se basa la firma.</w:t>
      </w:r>
    </w:p>
    <w:p w14:paraId="59307AD8" w14:textId="74A3D17A" w:rsidR="00485670" w:rsidRPr="000B22E4" w:rsidRDefault="00FE02B8" w:rsidP="00485670">
      <w:pPr>
        <w:rPr>
          <w:b/>
          <w:bCs/>
          <w:highlight w:val="yellow"/>
        </w:rPr>
      </w:pPr>
      <w:r w:rsidRPr="000B22E4">
        <w:rPr>
          <w:b/>
          <w:bCs/>
          <w:highlight w:val="yellow"/>
        </w:rPr>
        <w:t>Formatos</w:t>
      </w:r>
      <w:r w:rsidR="005228FE" w:rsidRPr="000B22E4">
        <w:rPr>
          <w:b/>
          <w:bCs/>
          <w:highlight w:val="yellow"/>
        </w:rPr>
        <w:t xml:space="preserve"> de firma según su uso:</w:t>
      </w:r>
    </w:p>
    <w:p w14:paraId="4ECB6F5E" w14:textId="7B9AE066" w:rsidR="00485670" w:rsidRPr="00E865A1" w:rsidRDefault="00485670" w:rsidP="00485670">
      <w:pPr>
        <w:pStyle w:val="Prrafodelista"/>
        <w:numPr>
          <w:ilvl w:val="0"/>
          <w:numId w:val="7"/>
        </w:numPr>
        <w:rPr>
          <w:highlight w:val="yellow"/>
        </w:rPr>
      </w:pPr>
      <w:proofErr w:type="spellStart"/>
      <w:r w:rsidRPr="00E865A1">
        <w:rPr>
          <w:b/>
          <w:bCs/>
          <w:highlight w:val="yellow"/>
        </w:rPr>
        <w:t>CAdES</w:t>
      </w:r>
      <w:proofErr w:type="spellEnd"/>
      <w:r w:rsidRPr="00E865A1">
        <w:rPr>
          <w:highlight w:val="yellow"/>
        </w:rPr>
        <w:t>: Apropiado para ficheros grandes porque optimiza el espacio.</w:t>
      </w:r>
    </w:p>
    <w:p w14:paraId="6D7C3B6B" w14:textId="679DD795" w:rsidR="00485670" w:rsidRPr="00E865A1" w:rsidRDefault="00485670" w:rsidP="00485670">
      <w:pPr>
        <w:pStyle w:val="Prrafodelista"/>
        <w:numPr>
          <w:ilvl w:val="0"/>
          <w:numId w:val="7"/>
        </w:numPr>
        <w:rPr>
          <w:highlight w:val="yellow"/>
        </w:rPr>
      </w:pPr>
      <w:proofErr w:type="spellStart"/>
      <w:r w:rsidRPr="00E865A1">
        <w:rPr>
          <w:b/>
          <w:bCs/>
          <w:highlight w:val="yellow"/>
        </w:rPr>
        <w:t>XAdES</w:t>
      </w:r>
      <w:proofErr w:type="spellEnd"/>
      <w:r w:rsidRPr="00E865A1">
        <w:rPr>
          <w:highlight w:val="yellow"/>
        </w:rPr>
        <w:t>: El resultado es un fichero de texto XML.</w:t>
      </w:r>
    </w:p>
    <w:p w14:paraId="520062A5" w14:textId="557C418F" w:rsidR="00485670" w:rsidRPr="00E865A1" w:rsidRDefault="00485670" w:rsidP="00485670">
      <w:pPr>
        <w:pStyle w:val="Prrafodelista"/>
        <w:numPr>
          <w:ilvl w:val="0"/>
          <w:numId w:val="7"/>
        </w:numPr>
        <w:rPr>
          <w:highlight w:val="yellow"/>
        </w:rPr>
      </w:pPr>
      <w:proofErr w:type="spellStart"/>
      <w:r w:rsidRPr="00E865A1">
        <w:rPr>
          <w:b/>
          <w:bCs/>
          <w:highlight w:val="yellow"/>
        </w:rPr>
        <w:t>PAdES</w:t>
      </w:r>
      <w:proofErr w:type="spellEnd"/>
      <w:r w:rsidRPr="00E865A1">
        <w:rPr>
          <w:highlight w:val="yellow"/>
        </w:rPr>
        <w:t>: Formato adecuado para PDF.</w:t>
      </w:r>
    </w:p>
    <w:p w14:paraId="67E0FA54" w14:textId="4F6223B6" w:rsidR="00482915" w:rsidRPr="00E865A1" w:rsidRDefault="00485670" w:rsidP="00485670">
      <w:pPr>
        <w:pStyle w:val="Prrafodelista"/>
        <w:numPr>
          <w:ilvl w:val="0"/>
          <w:numId w:val="7"/>
        </w:numPr>
        <w:rPr>
          <w:highlight w:val="yellow"/>
        </w:rPr>
      </w:pPr>
      <w:proofErr w:type="spellStart"/>
      <w:r w:rsidRPr="00E865A1">
        <w:rPr>
          <w:b/>
          <w:bCs/>
          <w:highlight w:val="yellow"/>
        </w:rPr>
        <w:t>X</w:t>
      </w:r>
      <w:r w:rsidRPr="00E865A1">
        <w:rPr>
          <w:b/>
          <w:bCs/>
          <w:highlight w:val="yellow"/>
        </w:rPr>
        <w:t>AdES</w:t>
      </w:r>
      <w:proofErr w:type="spellEnd"/>
      <w:r w:rsidRPr="00E865A1">
        <w:rPr>
          <w:b/>
          <w:bCs/>
          <w:highlight w:val="yellow"/>
        </w:rPr>
        <w:t>-A</w:t>
      </w:r>
      <w:r w:rsidRPr="00E865A1">
        <w:rPr>
          <w:highlight w:val="yellow"/>
        </w:rPr>
        <w:t>: Añade certificados e información de revocación para validación a largo plazo.</w:t>
      </w:r>
    </w:p>
    <w:p w14:paraId="273BBE0A" w14:textId="77777777" w:rsidR="00B76D86" w:rsidRDefault="00B76D86" w:rsidP="00B76D86"/>
    <w:p w14:paraId="2B05C6A4" w14:textId="60976061" w:rsidR="00B76D86" w:rsidRDefault="00B76D86" w:rsidP="00B76D86">
      <w:pPr>
        <w:pStyle w:val="Ttulo2"/>
      </w:pPr>
      <w:bookmarkStart w:id="6" w:name="_Toc221548876"/>
      <w:r w:rsidRPr="00B76D86">
        <w:t>Medidas Técnicas: Red SARA, Estándares y Hora Oficial</w:t>
      </w:r>
      <w:bookmarkEnd w:id="6"/>
    </w:p>
    <w:p w14:paraId="09463AA3" w14:textId="77777777" w:rsidR="00F2786F" w:rsidRDefault="00F2786F" w:rsidP="00F2786F">
      <w:r>
        <w:t>Infraestructura de red y sincronización temporal legal.</w:t>
      </w:r>
    </w:p>
    <w:p w14:paraId="664424E7" w14:textId="6F7CD965" w:rsidR="00F2786F" w:rsidRPr="00740335" w:rsidRDefault="00F2786F" w:rsidP="00F2786F">
      <w:pPr>
        <w:pStyle w:val="Prrafodelista"/>
        <w:numPr>
          <w:ilvl w:val="0"/>
          <w:numId w:val="8"/>
        </w:numPr>
        <w:rPr>
          <w:b/>
          <w:bCs/>
          <w:highlight w:val="yellow"/>
        </w:rPr>
      </w:pPr>
      <w:r w:rsidRPr="00740335">
        <w:rPr>
          <w:b/>
          <w:bCs/>
          <w:highlight w:val="yellow"/>
        </w:rPr>
        <w:t>Red SARA: Eje de las comunicaciones entre AAPP.</w:t>
      </w:r>
    </w:p>
    <w:p w14:paraId="5F4899C4" w14:textId="06198F22" w:rsidR="00F2786F" w:rsidRPr="00740335" w:rsidRDefault="00F2786F" w:rsidP="00F2786F">
      <w:pPr>
        <w:pStyle w:val="Prrafodelista"/>
        <w:numPr>
          <w:ilvl w:val="1"/>
          <w:numId w:val="8"/>
        </w:numPr>
        <w:rPr>
          <w:highlight w:val="yellow"/>
        </w:rPr>
      </w:pPr>
      <w:r w:rsidRPr="00740335">
        <w:rPr>
          <w:highlight w:val="yellow"/>
        </w:rPr>
        <w:t>Acceso mediante Puntos de Acceso (PAS) bajo convenios vinculantes.</w:t>
      </w:r>
    </w:p>
    <w:p w14:paraId="7F3FEAF6" w14:textId="08483D02" w:rsidR="00F2786F" w:rsidRDefault="00F2786F" w:rsidP="00F2786F">
      <w:pPr>
        <w:pStyle w:val="Prrafodelista"/>
        <w:numPr>
          <w:ilvl w:val="1"/>
          <w:numId w:val="8"/>
        </w:numPr>
      </w:pPr>
      <w:r>
        <w:t>Uso obligatorio del Plan de Direccionamiento IP de la Administración para servicios interoperables.</w:t>
      </w:r>
    </w:p>
    <w:p w14:paraId="5225DBBF" w14:textId="399E257F" w:rsidR="00F2786F" w:rsidRPr="0064486B" w:rsidRDefault="00F2786F" w:rsidP="00F2786F">
      <w:pPr>
        <w:pStyle w:val="Prrafodelista"/>
        <w:numPr>
          <w:ilvl w:val="0"/>
          <w:numId w:val="8"/>
        </w:numPr>
        <w:rPr>
          <w:b/>
          <w:bCs/>
          <w:highlight w:val="yellow"/>
        </w:rPr>
      </w:pPr>
      <w:r w:rsidRPr="0064486B">
        <w:rPr>
          <w:b/>
          <w:bCs/>
          <w:highlight w:val="yellow"/>
        </w:rPr>
        <w:t>Hora Oficial (tec.com.2):</w:t>
      </w:r>
    </w:p>
    <w:p w14:paraId="116C1C4F" w14:textId="2283AD6C" w:rsidR="00F2786F" w:rsidRDefault="00F2786F" w:rsidP="00F2786F">
      <w:pPr>
        <w:pStyle w:val="Prrafodelista"/>
        <w:numPr>
          <w:ilvl w:val="1"/>
          <w:numId w:val="8"/>
        </w:numPr>
      </w:pPr>
      <w:r>
        <w:t>Fuente: Sincronización con el Real Instituto y Observatorio de la Armada.</w:t>
      </w:r>
    </w:p>
    <w:p w14:paraId="7B86C814" w14:textId="0F95F440" w:rsidR="00F2786F" w:rsidRDefault="00F2786F" w:rsidP="00F2786F">
      <w:pPr>
        <w:pStyle w:val="Prrafodelista"/>
        <w:numPr>
          <w:ilvl w:val="1"/>
          <w:numId w:val="8"/>
        </w:numPr>
      </w:pPr>
      <w:r>
        <w:t>Servicio de difusión legal de la hora: Es la referencia obligatoria.</w:t>
      </w:r>
    </w:p>
    <w:p w14:paraId="7CB6AF1B" w14:textId="39E33334" w:rsidR="00F2786F" w:rsidRPr="0064486B" w:rsidRDefault="00F2786F" w:rsidP="00F2786F">
      <w:pPr>
        <w:pStyle w:val="Prrafodelista"/>
        <w:numPr>
          <w:ilvl w:val="1"/>
          <w:numId w:val="8"/>
        </w:numPr>
        <w:rPr>
          <w:highlight w:val="yellow"/>
        </w:rPr>
      </w:pPr>
      <w:r w:rsidRPr="0064486B">
        <w:rPr>
          <w:highlight w:val="yellow"/>
        </w:rPr>
        <w:t>Protocolos: NTP v4 (IETF RFC 5905) o PTP v2 (IEEE 1588).</w:t>
      </w:r>
    </w:p>
    <w:p w14:paraId="0768AB27" w14:textId="05AC8846" w:rsidR="00F2786F" w:rsidRPr="00E865A1" w:rsidRDefault="00F2786F" w:rsidP="00F2786F">
      <w:pPr>
        <w:pStyle w:val="Prrafodelista"/>
        <w:numPr>
          <w:ilvl w:val="1"/>
          <w:numId w:val="8"/>
        </w:numPr>
        <w:rPr>
          <w:highlight w:val="yellow"/>
        </w:rPr>
      </w:pPr>
      <w:r w:rsidRPr="00E865A1">
        <w:rPr>
          <w:highlight w:val="yellow"/>
        </w:rPr>
        <w:t>Umbral de precisión: Si el trámite administrativo exige una precisión o desfase de un segundo o inferior, se debe emplear tecnología específica de sincronización para corregir latencias de red.</w:t>
      </w:r>
    </w:p>
    <w:p w14:paraId="4162FA6A" w14:textId="5320201A" w:rsidR="00B76D86" w:rsidRDefault="00F2786F" w:rsidP="00F2786F">
      <w:pPr>
        <w:pStyle w:val="Prrafodelista"/>
        <w:numPr>
          <w:ilvl w:val="1"/>
          <w:numId w:val="8"/>
        </w:numPr>
      </w:pPr>
      <w:proofErr w:type="spellStart"/>
      <w:r>
        <w:t>Stratum</w:t>
      </w:r>
      <w:proofErr w:type="spellEnd"/>
      <w:r>
        <w:t xml:space="preserve">: Los sistemas deben emplear un nivel de </w:t>
      </w:r>
      <w:proofErr w:type="spellStart"/>
      <w:r>
        <w:t>Stratum</w:t>
      </w:r>
      <w:proofErr w:type="spellEnd"/>
      <w:r>
        <w:t xml:space="preserve"> apropiado al desfase máximo aceptable.</w:t>
      </w:r>
    </w:p>
    <w:p w14:paraId="0EA93403" w14:textId="77777777" w:rsidR="00F2786F" w:rsidRDefault="00F2786F" w:rsidP="00F2786F"/>
    <w:p w14:paraId="4AFEAEBF" w14:textId="633224A6" w:rsidR="00F2786F" w:rsidRDefault="00F2786F" w:rsidP="00F2786F">
      <w:pPr>
        <w:pStyle w:val="Ttulo2"/>
      </w:pPr>
      <w:bookmarkStart w:id="7" w:name="_Toc221548877"/>
      <w:r w:rsidRPr="00E865A1">
        <w:rPr>
          <w:highlight w:val="yellow"/>
        </w:rPr>
        <w:t>Modelos de Intercambio y Vocabularios (SICRES)</w:t>
      </w:r>
      <w:bookmarkEnd w:id="7"/>
    </w:p>
    <w:p w14:paraId="56A13BCB" w14:textId="77777777" w:rsidR="00065BF4" w:rsidRDefault="00065BF4" w:rsidP="00065BF4">
      <w:r>
        <w:t>El intercambio de asientos entre entidades registrales se rige por la NTI de Modelo de datos para el intercambio de asientos entre las entidades registrales.</w:t>
      </w:r>
    </w:p>
    <w:p w14:paraId="027FC42D" w14:textId="356433B6" w:rsidR="00065BF4" w:rsidRPr="00E865A1" w:rsidRDefault="00065BF4" w:rsidP="00065BF4">
      <w:pPr>
        <w:pStyle w:val="Prrafodelista"/>
        <w:numPr>
          <w:ilvl w:val="0"/>
          <w:numId w:val="11"/>
        </w:numPr>
        <w:rPr>
          <w:highlight w:val="yellow"/>
        </w:rPr>
      </w:pPr>
      <w:r w:rsidRPr="00E865A1">
        <w:rPr>
          <w:highlight w:val="yellow"/>
        </w:rPr>
        <w:t>Utiliza los vocabularios XSD de SICRES 3.0 como estándar semántico y estructural.</w:t>
      </w:r>
    </w:p>
    <w:p w14:paraId="545AF2DB" w14:textId="3490AE71" w:rsidR="00F2786F" w:rsidRDefault="00065BF4" w:rsidP="00065BF4">
      <w:pPr>
        <w:pStyle w:val="Prrafodelista"/>
        <w:numPr>
          <w:ilvl w:val="0"/>
          <w:numId w:val="10"/>
        </w:numPr>
      </w:pPr>
      <w:r>
        <w:t>Garantiza que la información de los asientos sea procesable automáticamente por cualquier sistema receptor independientemente de su fabricante.</w:t>
      </w:r>
    </w:p>
    <w:p w14:paraId="1211C409" w14:textId="77777777" w:rsidR="00065BF4" w:rsidRDefault="00065BF4" w:rsidP="00065BF4"/>
    <w:p w14:paraId="68A4E895" w14:textId="71BB17E2" w:rsidR="00065BF4" w:rsidRDefault="00065BF4" w:rsidP="00065BF4">
      <w:pPr>
        <w:pStyle w:val="Ttulo2"/>
      </w:pPr>
      <w:bookmarkStart w:id="8" w:name="_Toc221548878"/>
      <w:r w:rsidRPr="00997823">
        <w:rPr>
          <w:highlight w:val="yellow"/>
        </w:rPr>
        <w:t>Métricas de Conformidad y Auditoría</w:t>
      </w:r>
      <w:bookmarkEnd w:id="8"/>
    </w:p>
    <w:p w14:paraId="03D983C3" w14:textId="4D5AAABA" w:rsidR="00065BF4" w:rsidRDefault="00065BF4" w:rsidP="00065BF4">
      <w:r w:rsidRPr="00065BF4">
        <w:t>Grados de cumplimiento que el auditor debe asignar a cada control analizado:</w:t>
      </w:r>
    </w:p>
    <w:tbl>
      <w:tblPr>
        <w:tblStyle w:val="Tablaconcuadrcula"/>
        <w:tblW w:w="0" w:type="auto"/>
        <w:tblLook w:val="04A0" w:firstRow="1" w:lastRow="0" w:firstColumn="1" w:lastColumn="0" w:noHBand="0" w:noVBand="1"/>
      </w:tblPr>
      <w:tblGrid>
        <w:gridCol w:w="3390"/>
        <w:gridCol w:w="4340"/>
      </w:tblGrid>
      <w:tr w:rsidR="00065BF4" w:rsidRPr="00065BF4" w14:paraId="29D803DE" w14:textId="77777777" w:rsidTr="00065BF4">
        <w:tc>
          <w:tcPr>
            <w:tcW w:w="0" w:type="auto"/>
          </w:tcPr>
          <w:p w14:paraId="7B959577" w14:textId="49343498" w:rsidR="00065BF4" w:rsidRPr="00065BF4" w:rsidRDefault="00065BF4" w:rsidP="00065BF4">
            <w:pPr>
              <w:jc w:val="center"/>
              <w:rPr>
                <w:b/>
                <w:bCs/>
              </w:rPr>
            </w:pPr>
            <w:r>
              <w:rPr>
                <w:b/>
                <w:bCs/>
              </w:rPr>
              <w:t>Grado de Cumplimiento</w:t>
            </w:r>
          </w:p>
        </w:tc>
        <w:tc>
          <w:tcPr>
            <w:tcW w:w="0" w:type="auto"/>
          </w:tcPr>
          <w:p w14:paraId="3493EC2B" w14:textId="59BC1F95" w:rsidR="00065BF4" w:rsidRPr="00065BF4" w:rsidRDefault="00065BF4" w:rsidP="00065BF4">
            <w:pPr>
              <w:jc w:val="center"/>
              <w:rPr>
                <w:b/>
                <w:bCs/>
              </w:rPr>
            </w:pPr>
            <w:r w:rsidRPr="00065BF4">
              <w:rPr>
                <w:b/>
                <w:bCs/>
              </w:rPr>
              <w:t>Rango de Porcentaje Estimado</w:t>
            </w:r>
          </w:p>
        </w:tc>
      </w:tr>
      <w:tr w:rsidR="00065BF4" w14:paraId="7D2C872B" w14:textId="77777777" w:rsidTr="00997823">
        <w:tc>
          <w:tcPr>
            <w:tcW w:w="0" w:type="auto"/>
            <w:shd w:val="clear" w:color="auto" w:fill="FFFF00"/>
          </w:tcPr>
          <w:p w14:paraId="5F1911BF" w14:textId="5D8AD51E" w:rsidR="00065BF4" w:rsidRPr="00997823" w:rsidRDefault="00065BF4" w:rsidP="00065BF4">
            <w:pPr>
              <w:rPr>
                <w:b/>
                <w:bCs/>
                <w:highlight w:val="yellow"/>
              </w:rPr>
            </w:pPr>
            <w:r w:rsidRPr="00997823">
              <w:rPr>
                <w:b/>
                <w:bCs/>
                <w:highlight w:val="yellow"/>
              </w:rPr>
              <w:t>Nulo</w:t>
            </w:r>
          </w:p>
        </w:tc>
        <w:tc>
          <w:tcPr>
            <w:tcW w:w="0" w:type="auto"/>
            <w:shd w:val="clear" w:color="auto" w:fill="FFFF00"/>
          </w:tcPr>
          <w:p w14:paraId="5FCAABC5" w14:textId="5223520E" w:rsidR="00065BF4" w:rsidRDefault="00065BF4" w:rsidP="00065BF4">
            <w:r w:rsidRPr="00997823">
              <w:rPr>
                <w:highlight w:val="yellow"/>
              </w:rPr>
              <w:t>0%</w:t>
            </w:r>
          </w:p>
        </w:tc>
      </w:tr>
      <w:tr w:rsidR="00065BF4" w14:paraId="1C687B3A" w14:textId="77777777" w:rsidTr="00065BF4">
        <w:tc>
          <w:tcPr>
            <w:tcW w:w="0" w:type="auto"/>
          </w:tcPr>
          <w:p w14:paraId="304A7E53" w14:textId="65E1FB0F" w:rsidR="00065BF4" w:rsidRPr="00065BF4" w:rsidRDefault="00065BF4" w:rsidP="00065BF4">
            <w:pPr>
              <w:rPr>
                <w:b/>
                <w:bCs/>
              </w:rPr>
            </w:pPr>
            <w:r w:rsidRPr="00065BF4">
              <w:rPr>
                <w:b/>
                <w:bCs/>
              </w:rPr>
              <w:t>Iniciado</w:t>
            </w:r>
          </w:p>
        </w:tc>
        <w:tc>
          <w:tcPr>
            <w:tcW w:w="0" w:type="auto"/>
          </w:tcPr>
          <w:p w14:paraId="34DCF9D0" w14:textId="19CD40C2" w:rsidR="00065BF4" w:rsidRDefault="00065BF4" w:rsidP="00065BF4">
            <w:r w:rsidRPr="00065BF4">
              <w:t>1% - 20%</w:t>
            </w:r>
          </w:p>
        </w:tc>
      </w:tr>
      <w:tr w:rsidR="00065BF4" w14:paraId="5F0489D7" w14:textId="77777777" w:rsidTr="00065BF4">
        <w:tc>
          <w:tcPr>
            <w:tcW w:w="0" w:type="auto"/>
          </w:tcPr>
          <w:p w14:paraId="6F4C31AA" w14:textId="5C3DD72A" w:rsidR="00065BF4" w:rsidRPr="00065BF4" w:rsidRDefault="00065BF4" w:rsidP="00065BF4">
            <w:pPr>
              <w:rPr>
                <w:b/>
                <w:bCs/>
              </w:rPr>
            </w:pPr>
            <w:r w:rsidRPr="00065BF4">
              <w:rPr>
                <w:b/>
                <w:bCs/>
              </w:rPr>
              <w:t>Progresando</w:t>
            </w:r>
          </w:p>
        </w:tc>
        <w:tc>
          <w:tcPr>
            <w:tcW w:w="0" w:type="auto"/>
          </w:tcPr>
          <w:p w14:paraId="591A3F8A" w14:textId="084EEF4D" w:rsidR="00065BF4" w:rsidRDefault="00065BF4" w:rsidP="00065BF4">
            <w:r w:rsidRPr="00065BF4">
              <w:t>21% - 50%</w:t>
            </w:r>
          </w:p>
        </w:tc>
      </w:tr>
      <w:tr w:rsidR="00065BF4" w14:paraId="4AE1EE01" w14:textId="77777777" w:rsidTr="00065BF4">
        <w:tc>
          <w:tcPr>
            <w:tcW w:w="0" w:type="auto"/>
          </w:tcPr>
          <w:p w14:paraId="4C28EED9" w14:textId="19CD13A3" w:rsidR="00065BF4" w:rsidRPr="00065BF4" w:rsidRDefault="00065BF4" w:rsidP="00065BF4">
            <w:pPr>
              <w:rPr>
                <w:b/>
                <w:bCs/>
              </w:rPr>
            </w:pPr>
            <w:r w:rsidRPr="00065BF4">
              <w:rPr>
                <w:b/>
                <w:bCs/>
              </w:rPr>
              <w:t>Avanzado / Conforme</w:t>
            </w:r>
          </w:p>
        </w:tc>
        <w:tc>
          <w:tcPr>
            <w:tcW w:w="0" w:type="auto"/>
          </w:tcPr>
          <w:p w14:paraId="595FCA54" w14:textId="5A7BB740" w:rsidR="00065BF4" w:rsidRDefault="00065BF4" w:rsidP="00065BF4">
            <w:r w:rsidRPr="00065BF4">
              <w:t>51% - 70%</w:t>
            </w:r>
          </w:p>
        </w:tc>
      </w:tr>
      <w:tr w:rsidR="00065BF4" w14:paraId="1EEE0A33" w14:textId="77777777" w:rsidTr="00065BF4">
        <w:tc>
          <w:tcPr>
            <w:tcW w:w="0" w:type="auto"/>
          </w:tcPr>
          <w:p w14:paraId="58746F02" w14:textId="516E07FF" w:rsidR="00065BF4" w:rsidRPr="00065BF4" w:rsidRDefault="00065BF4" w:rsidP="00065BF4">
            <w:pPr>
              <w:rPr>
                <w:b/>
                <w:bCs/>
              </w:rPr>
            </w:pPr>
            <w:r w:rsidRPr="00065BF4">
              <w:rPr>
                <w:b/>
                <w:bCs/>
              </w:rPr>
              <w:t>Superior</w:t>
            </w:r>
          </w:p>
        </w:tc>
        <w:tc>
          <w:tcPr>
            <w:tcW w:w="0" w:type="auto"/>
          </w:tcPr>
          <w:p w14:paraId="05D386FB" w14:textId="1CF056D4" w:rsidR="00065BF4" w:rsidRDefault="00065BF4" w:rsidP="00065BF4">
            <w:r w:rsidRPr="00065BF4">
              <w:t>71% - 90%</w:t>
            </w:r>
          </w:p>
        </w:tc>
      </w:tr>
      <w:tr w:rsidR="00065BF4" w14:paraId="27E2207E" w14:textId="77777777" w:rsidTr="00997823">
        <w:tc>
          <w:tcPr>
            <w:tcW w:w="0" w:type="auto"/>
            <w:shd w:val="clear" w:color="auto" w:fill="FFFF00"/>
          </w:tcPr>
          <w:p w14:paraId="778C96BC" w14:textId="4CC180F6" w:rsidR="00065BF4" w:rsidRPr="00065BF4" w:rsidRDefault="00065BF4" w:rsidP="00065BF4">
            <w:pPr>
              <w:rPr>
                <w:b/>
                <w:bCs/>
              </w:rPr>
            </w:pPr>
            <w:r w:rsidRPr="00065BF4">
              <w:rPr>
                <w:b/>
                <w:bCs/>
              </w:rPr>
              <w:t>Excelente</w:t>
            </w:r>
          </w:p>
        </w:tc>
        <w:tc>
          <w:tcPr>
            <w:tcW w:w="0" w:type="auto"/>
            <w:shd w:val="clear" w:color="auto" w:fill="FFFF00"/>
          </w:tcPr>
          <w:p w14:paraId="677FAB79" w14:textId="6B7480FE" w:rsidR="00065BF4" w:rsidRDefault="00065BF4" w:rsidP="00065BF4">
            <w:r w:rsidRPr="00065BF4">
              <w:t>91% - 100%</w:t>
            </w:r>
          </w:p>
        </w:tc>
      </w:tr>
    </w:tbl>
    <w:p w14:paraId="08008672" w14:textId="77777777" w:rsidR="00065BF4" w:rsidRDefault="00065BF4" w:rsidP="00065BF4"/>
    <w:p w14:paraId="3EE0367A" w14:textId="403F71CD" w:rsidR="00065BF4" w:rsidRDefault="00065BF4" w:rsidP="00065BF4">
      <w:pPr>
        <w:pStyle w:val="Ttulo2"/>
      </w:pPr>
      <w:bookmarkStart w:id="9" w:name="_Toc221548879"/>
      <w:r w:rsidRPr="00065BF4">
        <w:t>Glosario de Recursos de Referencia</w:t>
      </w:r>
      <w:bookmarkEnd w:id="9"/>
    </w:p>
    <w:p w14:paraId="28188700" w14:textId="38737F84" w:rsidR="00121502" w:rsidRDefault="00121502" w:rsidP="00121502">
      <w:pPr>
        <w:pStyle w:val="Prrafodelista"/>
        <w:numPr>
          <w:ilvl w:val="0"/>
          <w:numId w:val="10"/>
        </w:numPr>
      </w:pPr>
      <w:r w:rsidRPr="00121502">
        <w:rPr>
          <w:b/>
          <w:bCs/>
        </w:rPr>
        <w:t>CTT (Centro de Transferencia de Tecnología):</w:t>
      </w:r>
      <w:r>
        <w:t xml:space="preserve"> Directorio estatal para compartir soluciones, infraestructuras y activos reutilizables.</w:t>
      </w:r>
    </w:p>
    <w:p w14:paraId="4FFFE5F6" w14:textId="42014F54" w:rsidR="00121502" w:rsidRPr="00DD520B" w:rsidRDefault="00121502" w:rsidP="00121502">
      <w:pPr>
        <w:pStyle w:val="Prrafodelista"/>
        <w:numPr>
          <w:ilvl w:val="0"/>
          <w:numId w:val="10"/>
        </w:numPr>
        <w:rPr>
          <w:highlight w:val="yellow"/>
        </w:rPr>
      </w:pPr>
      <w:r w:rsidRPr="00DD520B">
        <w:rPr>
          <w:b/>
          <w:bCs/>
          <w:highlight w:val="yellow"/>
        </w:rPr>
        <w:t>Red SARA</w:t>
      </w:r>
      <w:r w:rsidRPr="00DD520B">
        <w:rPr>
          <w:highlight w:val="yellow"/>
        </w:rPr>
        <w:t>: Red de comunicaciones segura que interconecta las AAPP españolas y con las instituciones de la UE.</w:t>
      </w:r>
    </w:p>
    <w:p w14:paraId="2725FBD7" w14:textId="4CEF189F" w:rsidR="00121502" w:rsidRDefault="00121502" w:rsidP="00121502">
      <w:pPr>
        <w:pStyle w:val="Prrafodelista"/>
        <w:numPr>
          <w:ilvl w:val="0"/>
          <w:numId w:val="10"/>
        </w:numPr>
      </w:pPr>
      <w:proofErr w:type="spellStart"/>
      <w:r w:rsidRPr="00121502">
        <w:rPr>
          <w:b/>
          <w:bCs/>
        </w:rPr>
        <w:t>J</w:t>
      </w:r>
      <w:r w:rsidRPr="00121502">
        <w:rPr>
          <w:b/>
          <w:bCs/>
        </w:rPr>
        <w:t>oinup</w:t>
      </w:r>
      <w:proofErr w:type="spellEnd"/>
      <w:r>
        <w:t>: Plataforma de la Comisión Europea para soluciones de interoperabilidad federadas.</w:t>
      </w:r>
    </w:p>
    <w:p w14:paraId="773B290A" w14:textId="5DFA65EE" w:rsidR="00121502" w:rsidRDefault="00121502" w:rsidP="00121502">
      <w:pPr>
        <w:pStyle w:val="Prrafodelista"/>
        <w:numPr>
          <w:ilvl w:val="0"/>
          <w:numId w:val="10"/>
        </w:numPr>
      </w:pPr>
      <w:r w:rsidRPr="00121502">
        <w:rPr>
          <w:b/>
          <w:bCs/>
        </w:rPr>
        <w:t>Código de Administración Electrónica</w:t>
      </w:r>
      <w:r>
        <w:t>: Compilación normativa actualizada publicada por la Agencia Estatal Boletín Oficial del Estado (BOE).</w:t>
      </w:r>
    </w:p>
    <w:p w14:paraId="5D139B05" w14:textId="794467D8" w:rsidR="00E959C3" w:rsidRDefault="00E959C3" w:rsidP="00E959C3">
      <w:pPr>
        <w:pStyle w:val="Prrafodelista"/>
        <w:numPr>
          <w:ilvl w:val="0"/>
          <w:numId w:val="10"/>
        </w:numPr>
      </w:pPr>
      <w:r w:rsidRPr="00E959C3">
        <w:rPr>
          <w:b/>
          <w:bCs/>
        </w:rPr>
        <w:t>SICRES 3.0:</w:t>
      </w:r>
      <w:r w:rsidRPr="00E959C3">
        <w:t xml:space="preserve"> modelo de datos para el intercambio de asientos registrale</w:t>
      </w:r>
      <w:r>
        <w:t>s.</w:t>
      </w:r>
    </w:p>
    <w:p w14:paraId="0709A66E" w14:textId="40645562" w:rsidR="00065BF4" w:rsidRDefault="00121502" w:rsidP="00121502">
      <w:pPr>
        <w:pStyle w:val="Prrafodelista"/>
        <w:numPr>
          <w:ilvl w:val="0"/>
          <w:numId w:val="10"/>
        </w:numPr>
        <w:rPr>
          <w:highlight w:val="yellow"/>
        </w:rPr>
      </w:pPr>
      <w:r w:rsidRPr="00014133">
        <w:rPr>
          <w:b/>
          <w:bCs/>
          <w:highlight w:val="yellow"/>
        </w:rPr>
        <w:t>e-EMGDE</w:t>
      </w:r>
      <w:r w:rsidRPr="00014133">
        <w:rPr>
          <w:highlight w:val="yellow"/>
        </w:rPr>
        <w:t>: Esquema de Metadatos para la Gestión del Documento Electrónico; norma técnica que define los metadatos mínimos obligatorios.</w:t>
      </w:r>
    </w:p>
    <w:p w14:paraId="6C847B60" w14:textId="6E4C4738" w:rsidR="00C03A87" w:rsidRPr="00E865A1" w:rsidRDefault="00C03A87" w:rsidP="00121502">
      <w:pPr>
        <w:pStyle w:val="Prrafodelista"/>
        <w:numPr>
          <w:ilvl w:val="0"/>
          <w:numId w:val="10"/>
        </w:numPr>
        <w:rPr>
          <w:highlight w:val="yellow"/>
        </w:rPr>
      </w:pPr>
      <w:r w:rsidRPr="00E865A1">
        <w:rPr>
          <w:b/>
          <w:bCs/>
          <w:highlight w:val="yellow"/>
        </w:rPr>
        <w:t>e-VISOR</w:t>
      </w:r>
      <w:r w:rsidRPr="00E865A1">
        <w:rPr>
          <w:highlight w:val="yellow"/>
        </w:rPr>
        <w:t>: Aplicación web para la generación de copias auténticas en papel de documentos con firma electrónica y visualización de firmas</w:t>
      </w:r>
      <w:r w:rsidR="00485670" w:rsidRPr="00E865A1">
        <w:rPr>
          <w:highlight w:val="yellow"/>
        </w:rPr>
        <w:t>.</w:t>
      </w:r>
    </w:p>
    <w:p w14:paraId="7DAFB1FC" w14:textId="0DC0E984" w:rsidR="00485670" w:rsidRDefault="00485670" w:rsidP="00121502">
      <w:pPr>
        <w:pStyle w:val="Prrafodelista"/>
        <w:numPr>
          <w:ilvl w:val="0"/>
          <w:numId w:val="10"/>
        </w:numPr>
        <w:rPr>
          <w:highlight w:val="yellow"/>
        </w:rPr>
      </w:pPr>
      <w:r w:rsidRPr="00E865A1">
        <w:rPr>
          <w:highlight w:val="yellow"/>
        </w:rPr>
        <w:t xml:space="preserve"> </w:t>
      </w:r>
      <w:r w:rsidRPr="00E865A1">
        <w:rPr>
          <w:b/>
          <w:bCs/>
          <w:highlight w:val="yellow"/>
        </w:rPr>
        <w:t>SAML 2.0</w:t>
      </w:r>
      <w:r w:rsidRPr="00E865A1">
        <w:rPr>
          <w:highlight w:val="yellow"/>
        </w:rPr>
        <w:t xml:space="preserve">: "Estándar de mensajería para </w:t>
      </w:r>
      <w:proofErr w:type="spellStart"/>
      <w:r w:rsidRPr="00E865A1">
        <w:rPr>
          <w:highlight w:val="yellow"/>
        </w:rPr>
        <w:t>Cl@ve</w:t>
      </w:r>
      <w:proofErr w:type="spellEnd"/>
      <w:r w:rsidRPr="00E865A1">
        <w:rPr>
          <w:highlight w:val="yellow"/>
        </w:rPr>
        <w:t xml:space="preserve"> y el nodo </w:t>
      </w:r>
      <w:proofErr w:type="spellStart"/>
      <w:r w:rsidRPr="00E865A1">
        <w:rPr>
          <w:highlight w:val="yellow"/>
        </w:rPr>
        <w:t>eIDAS</w:t>
      </w:r>
      <w:proofErr w:type="spellEnd"/>
      <w:r w:rsidRPr="00E865A1">
        <w:rPr>
          <w:highlight w:val="yellow"/>
        </w:rPr>
        <w:t>"</w:t>
      </w:r>
    </w:p>
    <w:p w14:paraId="7D2D3346" w14:textId="7D6B389B" w:rsidR="00910328" w:rsidRPr="00910328" w:rsidRDefault="00910328" w:rsidP="00121502">
      <w:pPr>
        <w:pStyle w:val="Prrafodelista"/>
        <w:numPr>
          <w:ilvl w:val="0"/>
          <w:numId w:val="10"/>
        </w:numPr>
        <w:rPr>
          <w:highlight w:val="yellow"/>
        </w:rPr>
      </w:pPr>
      <w:r w:rsidRPr="00910328">
        <w:rPr>
          <w:b/>
          <w:bCs/>
          <w:highlight w:val="yellow"/>
        </w:rPr>
        <w:t>Vigencia DNIe</w:t>
      </w:r>
      <w:r w:rsidRPr="00910328">
        <w:rPr>
          <w:highlight w:val="yellow"/>
        </w:rPr>
        <w:t xml:space="preserve">: </w:t>
      </w:r>
      <w:r w:rsidRPr="00910328">
        <w:rPr>
          <w:highlight w:val="yellow"/>
        </w:rPr>
        <w:t>La vigencia de los certificados electrónicos del DNIe no podrá ser superior a cinco años</w:t>
      </w:r>
      <w:r w:rsidRPr="00910328">
        <w:rPr>
          <w:highlight w:val="yellow"/>
        </w:rPr>
        <w:t>.</w:t>
      </w:r>
    </w:p>
    <w:p w14:paraId="432A095E" w14:textId="4183BF4F" w:rsidR="00910328" w:rsidRPr="00910328" w:rsidRDefault="00910328" w:rsidP="00121502">
      <w:pPr>
        <w:pStyle w:val="Prrafodelista"/>
        <w:numPr>
          <w:ilvl w:val="0"/>
          <w:numId w:val="10"/>
        </w:numPr>
        <w:rPr>
          <w:highlight w:val="yellow"/>
        </w:rPr>
      </w:pPr>
      <w:r w:rsidRPr="00910328">
        <w:rPr>
          <w:b/>
          <w:bCs/>
          <w:highlight w:val="yellow"/>
        </w:rPr>
        <w:t>Accesibilidad (RD 1112/2018):</w:t>
      </w:r>
      <w:r w:rsidRPr="00910328">
        <w:rPr>
          <w:highlight w:val="yellow"/>
        </w:rPr>
        <w:t xml:space="preserve"> </w:t>
      </w:r>
      <w:r w:rsidRPr="00910328">
        <w:rPr>
          <w:highlight w:val="yellow"/>
        </w:rPr>
        <w:t>El plazo para responder a solicitudes de información accesible y quejas es de veinte días hábiles</w:t>
      </w:r>
      <w:r w:rsidRPr="00910328">
        <w:rPr>
          <w:highlight w:val="yellow"/>
        </w:rPr>
        <w:t>.</w:t>
      </w:r>
    </w:p>
    <w:sectPr w:rsidR="00910328" w:rsidRPr="00910328">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724FD" w14:textId="77777777" w:rsidR="00200C67" w:rsidRDefault="00200C67" w:rsidP="00987FC1">
      <w:pPr>
        <w:spacing w:after="0" w:line="240" w:lineRule="auto"/>
      </w:pPr>
      <w:r>
        <w:separator/>
      </w:r>
    </w:p>
  </w:endnote>
  <w:endnote w:type="continuationSeparator" w:id="0">
    <w:p w14:paraId="1AE8415F" w14:textId="77777777" w:rsidR="00200C67" w:rsidRDefault="00200C67" w:rsidP="00987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386500"/>
      <w:docPartObj>
        <w:docPartGallery w:val="Page Numbers (Bottom of Page)"/>
        <w:docPartUnique/>
      </w:docPartObj>
    </w:sdtPr>
    <w:sdtContent>
      <w:p w14:paraId="11E27A60" w14:textId="41CDABB1" w:rsidR="00987FC1" w:rsidRDefault="00987FC1">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7918447A" w14:textId="77777777" w:rsidR="00987FC1" w:rsidRDefault="00987F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C46F1" w14:textId="77777777" w:rsidR="00200C67" w:rsidRDefault="00200C67" w:rsidP="00987FC1">
      <w:pPr>
        <w:spacing w:after="0" w:line="240" w:lineRule="auto"/>
      </w:pPr>
      <w:r>
        <w:separator/>
      </w:r>
    </w:p>
  </w:footnote>
  <w:footnote w:type="continuationSeparator" w:id="0">
    <w:p w14:paraId="6173B1A3" w14:textId="77777777" w:rsidR="00200C67" w:rsidRDefault="00200C67" w:rsidP="00987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0A8"/>
    <w:multiLevelType w:val="hybridMultilevel"/>
    <w:tmpl w:val="2DCC67A2"/>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B77C56"/>
    <w:multiLevelType w:val="hybridMultilevel"/>
    <w:tmpl w:val="A4CE0C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496BC0"/>
    <w:multiLevelType w:val="hybridMultilevel"/>
    <w:tmpl w:val="AF9A35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F6050E"/>
    <w:multiLevelType w:val="hybridMultilevel"/>
    <w:tmpl w:val="495265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C9330B"/>
    <w:multiLevelType w:val="hybridMultilevel"/>
    <w:tmpl w:val="4F528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FB57072"/>
    <w:multiLevelType w:val="hybridMultilevel"/>
    <w:tmpl w:val="5576F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52F5362"/>
    <w:multiLevelType w:val="hybridMultilevel"/>
    <w:tmpl w:val="36A81E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91033E6"/>
    <w:multiLevelType w:val="hybridMultilevel"/>
    <w:tmpl w:val="A61AA2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B05400E"/>
    <w:multiLevelType w:val="hybridMultilevel"/>
    <w:tmpl w:val="1EECA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3A436F"/>
    <w:multiLevelType w:val="hybridMultilevel"/>
    <w:tmpl w:val="84BE16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60B6620"/>
    <w:multiLevelType w:val="hybridMultilevel"/>
    <w:tmpl w:val="7344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0589056">
    <w:abstractNumId w:val="8"/>
  </w:num>
  <w:num w:numId="2" w16cid:durableId="963775115">
    <w:abstractNumId w:val="4"/>
  </w:num>
  <w:num w:numId="3" w16cid:durableId="1163276337">
    <w:abstractNumId w:val="1"/>
  </w:num>
  <w:num w:numId="4" w16cid:durableId="203951719">
    <w:abstractNumId w:val="6"/>
  </w:num>
  <w:num w:numId="5" w16cid:durableId="2125464928">
    <w:abstractNumId w:val="10"/>
  </w:num>
  <w:num w:numId="6" w16cid:durableId="2060933453">
    <w:abstractNumId w:val="3"/>
  </w:num>
  <w:num w:numId="7" w16cid:durableId="1141652845">
    <w:abstractNumId w:val="5"/>
  </w:num>
  <w:num w:numId="8" w16cid:durableId="1594820159">
    <w:abstractNumId w:val="7"/>
  </w:num>
  <w:num w:numId="9" w16cid:durableId="1244802501">
    <w:abstractNumId w:val="2"/>
  </w:num>
  <w:num w:numId="10" w16cid:durableId="2044015672">
    <w:abstractNumId w:val="0"/>
  </w:num>
  <w:num w:numId="11" w16cid:durableId="1443766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80"/>
    <w:rsid w:val="00012EFA"/>
    <w:rsid w:val="00014133"/>
    <w:rsid w:val="00065BF4"/>
    <w:rsid w:val="00091980"/>
    <w:rsid w:val="000A4A9C"/>
    <w:rsid w:val="000B22E4"/>
    <w:rsid w:val="000D52F3"/>
    <w:rsid w:val="001002F3"/>
    <w:rsid w:val="00121502"/>
    <w:rsid w:val="00166654"/>
    <w:rsid w:val="001F70F5"/>
    <w:rsid w:val="00200C67"/>
    <w:rsid w:val="00292784"/>
    <w:rsid w:val="002C3509"/>
    <w:rsid w:val="00482915"/>
    <w:rsid w:val="00485670"/>
    <w:rsid w:val="005228FE"/>
    <w:rsid w:val="0056416E"/>
    <w:rsid w:val="005D55F3"/>
    <w:rsid w:val="0064486B"/>
    <w:rsid w:val="00684EA0"/>
    <w:rsid w:val="006B51EE"/>
    <w:rsid w:val="0072245E"/>
    <w:rsid w:val="00740335"/>
    <w:rsid w:val="00757C3E"/>
    <w:rsid w:val="00773BD4"/>
    <w:rsid w:val="00813C1E"/>
    <w:rsid w:val="00831454"/>
    <w:rsid w:val="00854B7E"/>
    <w:rsid w:val="00894997"/>
    <w:rsid w:val="008F710A"/>
    <w:rsid w:val="00910328"/>
    <w:rsid w:val="009307F0"/>
    <w:rsid w:val="00987FC1"/>
    <w:rsid w:val="00997823"/>
    <w:rsid w:val="00A24092"/>
    <w:rsid w:val="00A727B4"/>
    <w:rsid w:val="00A90516"/>
    <w:rsid w:val="00AC2288"/>
    <w:rsid w:val="00B76D86"/>
    <w:rsid w:val="00B872D0"/>
    <w:rsid w:val="00C03A87"/>
    <w:rsid w:val="00C50947"/>
    <w:rsid w:val="00D07B15"/>
    <w:rsid w:val="00D25931"/>
    <w:rsid w:val="00DA323A"/>
    <w:rsid w:val="00DD520B"/>
    <w:rsid w:val="00E865A1"/>
    <w:rsid w:val="00E959C3"/>
    <w:rsid w:val="00F22C4C"/>
    <w:rsid w:val="00F2786F"/>
    <w:rsid w:val="00F3084A"/>
    <w:rsid w:val="00F53B5D"/>
    <w:rsid w:val="00FE0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4C0D2"/>
  <w14:defaultImageDpi w14:val="32767"/>
  <w15:chartTrackingRefBased/>
  <w15:docId w15:val="{39B6A2F7-1C75-4564-8D07-51D53D59B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09198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09198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919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9198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9198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9198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091980"/>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091980"/>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09198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09198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09198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09198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091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19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1980"/>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091980"/>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091980"/>
    <w:pPr>
      <w:spacing w:before="160"/>
      <w:jc w:val="center"/>
    </w:pPr>
    <w:rPr>
      <w:i/>
      <w:iCs/>
      <w:color w:val="404040" w:themeColor="text1" w:themeTint="BF"/>
    </w:rPr>
  </w:style>
  <w:style w:type="character" w:customStyle="1" w:styleId="CitaCar">
    <w:name w:val="Cita Car"/>
    <w:basedOn w:val="Fuentedeprrafopredeter"/>
    <w:link w:val="Cita"/>
    <w:uiPriority w:val="29"/>
    <w:rsid w:val="00091980"/>
    <w:rPr>
      <w:i/>
      <w:iCs/>
      <w:color w:val="404040" w:themeColor="text1" w:themeTint="BF"/>
    </w:rPr>
  </w:style>
  <w:style w:type="paragraph" w:styleId="Prrafodelista">
    <w:name w:val="List Paragraph"/>
    <w:basedOn w:val="Normal"/>
    <w:uiPriority w:val="34"/>
    <w:qFormat/>
    <w:rsid w:val="00091980"/>
    <w:pPr>
      <w:ind w:left="720"/>
      <w:contextualSpacing/>
    </w:pPr>
  </w:style>
  <w:style w:type="character" w:styleId="nfasisintenso">
    <w:name w:val="Intense Emphasis"/>
    <w:basedOn w:val="Fuentedeprrafopredeter"/>
    <w:uiPriority w:val="21"/>
    <w:qFormat/>
    <w:rsid w:val="00091980"/>
    <w:rPr>
      <w:i/>
      <w:iCs/>
      <w:color w:val="2F5496" w:themeColor="accent1" w:themeShade="BF"/>
    </w:rPr>
  </w:style>
  <w:style w:type="paragraph" w:styleId="Citadestacada">
    <w:name w:val="Intense Quote"/>
    <w:basedOn w:val="Normal"/>
    <w:next w:val="Normal"/>
    <w:link w:val="CitadestacadaCar"/>
    <w:uiPriority w:val="30"/>
    <w:qFormat/>
    <w:rsid w:val="00091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91980"/>
    <w:rPr>
      <w:i/>
      <w:iCs/>
      <w:color w:val="2F5496" w:themeColor="accent1" w:themeShade="BF"/>
    </w:rPr>
  </w:style>
  <w:style w:type="character" w:styleId="Referenciaintensa">
    <w:name w:val="Intense Reference"/>
    <w:basedOn w:val="Fuentedeprrafopredeter"/>
    <w:uiPriority w:val="32"/>
    <w:qFormat/>
    <w:rsid w:val="00091980"/>
    <w:rPr>
      <w:b/>
      <w:bCs/>
      <w:smallCaps/>
      <w:color w:val="2F5496" w:themeColor="accent1" w:themeShade="BF"/>
      <w:spacing w:val="5"/>
    </w:rPr>
  </w:style>
  <w:style w:type="paragraph" w:styleId="Encabezado">
    <w:name w:val="header"/>
    <w:basedOn w:val="Normal"/>
    <w:link w:val="EncabezadoCar"/>
    <w:uiPriority w:val="99"/>
    <w:unhideWhenUsed/>
    <w:rsid w:val="00987F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7FC1"/>
  </w:style>
  <w:style w:type="paragraph" w:styleId="Piedepgina">
    <w:name w:val="footer"/>
    <w:basedOn w:val="Normal"/>
    <w:link w:val="PiedepginaCar"/>
    <w:uiPriority w:val="99"/>
    <w:unhideWhenUsed/>
    <w:rsid w:val="00987F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7FC1"/>
  </w:style>
  <w:style w:type="table" w:styleId="Tablaconcuadrcula">
    <w:name w:val="Table Grid"/>
    <w:basedOn w:val="Tablanormal"/>
    <w:uiPriority w:val="39"/>
    <w:rsid w:val="00854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A4A9C"/>
    <w:pPr>
      <w:spacing w:after="100"/>
      <w:ind w:left="280"/>
    </w:pPr>
  </w:style>
  <w:style w:type="character" w:styleId="Hipervnculo">
    <w:name w:val="Hyperlink"/>
    <w:basedOn w:val="Fuentedeprrafopredeter"/>
    <w:uiPriority w:val="99"/>
    <w:unhideWhenUsed/>
    <w:rsid w:val="000A4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BBC45-712E-4C0B-951A-50F78A058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1486</Words>
  <Characters>8178</Characters>
  <Application>Microsoft Office Word</Application>
  <DocSecurity>0</DocSecurity>
  <Lines>68</Lines>
  <Paragraphs>19</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
      <vt:lpstr>    Marco Legal y Fundamentos del ENI</vt:lpstr>
      <vt:lpstr>    Clasificación de Controles de Interoperabilidad</vt:lpstr>
      <vt:lpstr>    NTI de Marco Organizativo: Reutilización y Publicación</vt:lpstr>
      <vt:lpstr>    NTI de Marco Operacional: Documento y Expediente Electrónico</vt:lpstr>
      <vt:lpstr>    Procesos de Gestión Documental: Digitalización y Copiado</vt:lpstr>
      <vt:lpstr>    NTI de Política de Firma Electrónica y Certificados</vt:lpstr>
      <vt:lpstr>    Medidas Técnicas: Red SARA, Estándares y Hora Oficial</vt:lpstr>
      <vt:lpstr>    Modelos de Intercambio y Vocabularios (SICRES)</vt:lpstr>
      <vt:lpstr>    Métricas de Conformidad y Auditoría</vt:lpstr>
      <vt:lpstr>    Glosario de Recursos de Referencia</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21</cp:revision>
  <cp:lastPrinted>2026-02-09T15:58:00Z</cp:lastPrinted>
  <dcterms:created xsi:type="dcterms:W3CDTF">2026-02-09T15:17:00Z</dcterms:created>
  <dcterms:modified xsi:type="dcterms:W3CDTF">2026-02-09T16:00:00Z</dcterms:modified>
</cp:coreProperties>
</file>