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36791" w14:textId="595E3DE1" w:rsidR="00707B07" w:rsidRDefault="00746F87" w:rsidP="008017F4">
      <w:pPr>
        <w:jc w:val="center"/>
        <w:rPr>
          <w:rFonts w:ascii="Arial Black" w:hAnsi="Arial Black"/>
          <w:sz w:val="36"/>
          <w:szCs w:val="28"/>
        </w:rPr>
      </w:pPr>
      <w:r>
        <w:rPr>
          <w:rFonts w:ascii="Arial Black" w:hAnsi="Arial Black"/>
          <w:sz w:val="36"/>
          <w:szCs w:val="28"/>
        </w:rPr>
        <w:t>RESUMEN LEY 39/2015</w:t>
      </w:r>
    </w:p>
    <w:p w14:paraId="42AB56C3" w14:textId="77777777" w:rsidR="00405801" w:rsidRDefault="00405801" w:rsidP="008017F4">
      <w:pPr>
        <w:jc w:val="center"/>
        <w:rPr>
          <w:rFonts w:ascii="Arial Black" w:hAnsi="Arial Black"/>
          <w:sz w:val="36"/>
          <w:szCs w:val="28"/>
        </w:rPr>
      </w:pPr>
    </w:p>
    <w:p w14:paraId="319558B4" w14:textId="386A0830" w:rsidR="002A5FCD" w:rsidRDefault="00405801">
      <w:pPr>
        <w:pStyle w:val="TDC2"/>
        <w:tabs>
          <w:tab w:val="right" w:leader="dot" w:pos="8494"/>
        </w:tabs>
        <w:rPr>
          <w:rFonts w:asciiTheme="minorHAnsi" w:eastAsiaTheme="minorEastAsia" w:hAnsiTheme="minorHAnsi"/>
          <w:noProof/>
          <w:sz w:val="24"/>
          <w:szCs w:val="24"/>
          <w:lang w:eastAsia="es-ES"/>
        </w:rPr>
      </w:pPr>
      <w:r>
        <w:rPr>
          <w:rFonts w:ascii="Arial Black" w:hAnsi="Arial Black"/>
          <w:sz w:val="36"/>
          <w:szCs w:val="28"/>
        </w:rPr>
        <w:fldChar w:fldCharType="begin"/>
      </w:r>
      <w:r>
        <w:rPr>
          <w:rFonts w:ascii="Arial Black" w:hAnsi="Arial Black"/>
          <w:sz w:val="36"/>
          <w:szCs w:val="28"/>
        </w:rPr>
        <w:instrText xml:space="preserve"> TOC \o \h \z \u </w:instrText>
      </w:r>
      <w:r>
        <w:rPr>
          <w:rFonts w:ascii="Arial Black" w:hAnsi="Arial Black"/>
          <w:sz w:val="36"/>
          <w:szCs w:val="28"/>
        </w:rPr>
        <w:fldChar w:fldCharType="separate"/>
      </w:r>
      <w:hyperlink w:anchor="_Toc221560193" w:history="1">
        <w:r w:rsidR="002A5FCD" w:rsidRPr="00A17974">
          <w:rPr>
            <w:rStyle w:val="Hipervnculo"/>
            <w:noProof/>
          </w:rPr>
          <w:t>Objeto y Ámbito de Aplicación</w:t>
        </w:r>
        <w:r w:rsidR="002A5FCD">
          <w:rPr>
            <w:noProof/>
            <w:webHidden/>
          </w:rPr>
          <w:tab/>
        </w:r>
        <w:r w:rsidR="002A5FCD">
          <w:rPr>
            <w:noProof/>
            <w:webHidden/>
          </w:rPr>
          <w:fldChar w:fldCharType="begin"/>
        </w:r>
        <w:r w:rsidR="002A5FCD">
          <w:rPr>
            <w:noProof/>
            <w:webHidden/>
          </w:rPr>
          <w:instrText xml:space="preserve"> PAGEREF _Toc221560193 \h </w:instrText>
        </w:r>
        <w:r w:rsidR="002A5FCD">
          <w:rPr>
            <w:noProof/>
            <w:webHidden/>
          </w:rPr>
        </w:r>
        <w:r w:rsidR="002A5FCD">
          <w:rPr>
            <w:noProof/>
            <w:webHidden/>
          </w:rPr>
          <w:fldChar w:fldCharType="separate"/>
        </w:r>
        <w:r w:rsidR="002A5FCD">
          <w:rPr>
            <w:noProof/>
            <w:webHidden/>
          </w:rPr>
          <w:t>1</w:t>
        </w:r>
        <w:r w:rsidR="002A5FCD">
          <w:rPr>
            <w:noProof/>
            <w:webHidden/>
          </w:rPr>
          <w:fldChar w:fldCharType="end"/>
        </w:r>
      </w:hyperlink>
    </w:p>
    <w:p w14:paraId="4978B1FB" w14:textId="725B484E" w:rsidR="002A5FCD" w:rsidRDefault="002A5FCD">
      <w:pPr>
        <w:pStyle w:val="TDC2"/>
        <w:tabs>
          <w:tab w:val="right" w:leader="dot" w:pos="8494"/>
        </w:tabs>
        <w:rPr>
          <w:rFonts w:asciiTheme="minorHAnsi" w:eastAsiaTheme="minorEastAsia" w:hAnsiTheme="minorHAnsi"/>
          <w:noProof/>
          <w:sz w:val="24"/>
          <w:szCs w:val="24"/>
          <w:lang w:eastAsia="es-ES"/>
        </w:rPr>
      </w:pPr>
      <w:hyperlink w:anchor="_Toc221560194" w:history="1">
        <w:r w:rsidRPr="00A17974">
          <w:rPr>
            <w:rStyle w:val="Hipervnculo"/>
            <w:noProof/>
            <w:highlight w:val="yellow"/>
          </w:rPr>
          <w:t>Capacidad de Obrar y Representación</w:t>
        </w:r>
        <w:r>
          <w:rPr>
            <w:noProof/>
            <w:webHidden/>
          </w:rPr>
          <w:tab/>
        </w:r>
        <w:r>
          <w:rPr>
            <w:noProof/>
            <w:webHidden/>
          </w:rPr>
          <w:fldChar w:fldCharType="begin"/>
        </w:r>
        <w:r>
          <w:rPr>
            <w:noProof/>
            <w:webHidden/>
          </w:rPr>
          <w:instrText xml:space="preserve"> PAGEREF _Toc221560194 \h </w:instrText>
        </w:r>
        <w:r>
          <w:rPr>
            <w:noProof/>
            <w:webHidden/>
          </w:rPr>
        </w:r>
        <w:r>
          <w:rPr>
            <w:noProof/>
            <w:webHidden/>
          </w:rPr>
          <w:fldChar w:fldCharType="separate"/>
        </w:r>
        <w:r>
          <w:rPr>
            <w:noProof/>
            <w:webHidden/>
          </w:rPr>
          <w:t>1</w:t>
        </w:r>
        <w:r>
          <w:rPr>
            <w:noProof/>
            <w:webHidden/>
          </w:rPr>
          <w:fldChar w:fldCharType="end"/>
        </w:r>
      </w:hyperlink>
    </w:p>
    <w:p w14:paraId="3650B3B0" w14:textId="7FA03F65" w:rsidR="002A5FCD" w:rsidRDefault="002A5FCD">
      <w:pPr>
        <w:pStyle w:val="TDC2"/>
        <w:tabs>
          <w:tab w:val="right" w:leader="dot" w:pos="8494"/>
        </w:tabs>
        <w:rPr>
          <w:rFonts w:asciiTheme="minorHAnsi" w:eastAsiaTheme="minorEastAsia" w:hAnsiTheme="minorHAnsi"/>
          <w:noProof/>
          <w:sz w:val="24"/>
          <w:szCs w:val="24"/>
          <w:lang w:eastAsia="es-ES"/>
        </w:rPr>
      </w:pPr>
      <w:hyperlink w:anchor="_Toc221560195" w:history="1">
        <w:r w:rsidRPr="00A17974">
          <w:rPr>
            <w:rStyle w:val="Hipervnculo"/>
            <w:noProof/>
            <w:highlight w:val="yellow"/>
          </w:rPr>
          <w:t>Identificación y Firma Electrónica</w:t>
        </w:r>
        <w:r>
          <w:rPr>
            <w:noProof/>
            <w:webHidden/>
          </w:rPr>
          <w:tab/>
        </w:r>
        <w:r>
          <w:rPr>
            <w:noProof/>
            <w:webHidden/>
          </w:rPr>
          <w:fldChar w:fldCharType="begin"/>
        </w:r>
        <w:r>
          <w:rPr>
            <w:noProof/>
            <w:webHidden/>
          </w:rPr>
          <w:instrText xml:space="preserve"> PAGEREF _Toc221560195 \h </w:instrText>
        </w:r>
        <w:r>
          <w:rPr>
            <w:noProof/>
            <w:webHidden/>
          </w:rPr>
        </w:r>
        <w:r>
          <w:rPr>
            <w:noProof/>
            <w:webHidden/>
          </w:rPr>
          <w:fldChar w:fldCharType="separate"/>
        </w:r>
        <w:r>
          <w:rPr>
            <w:noProof/>
            <w:webHidden/>
          </w:rPr>
          <w:t>2</w:t>
        </w:r>
        <w:r>
          <w:rPr>
            <w:noProof/>
            <w:webHidden/>
          </w:rPr>
          <w:fldChar w:fldCharType="end"/>
        </w:r>
      </w:hyperlink>
    </w:p>
    <w:p w14:paraId="510A480B" w14:textId="26718C62" w:rsidR="002A5FCD" w:rsidRDefault="002A5FCD">
      <w:pPr>
        <w:pStyle w:val="TDC2"/>
        <w:tabs>
          <w:tab w:val="right" w:leader="dot" w:pos="8494"/>
        </w:tabs>
        <w:rPr>
          <w:rFonts w:asciiTheme="minorHAnsi" w:eastAsiaTheme="minorEastAsia" w:hAnsiTheme="minorHAnsi"/>
          <w:noProof/>
          <w:sz w:val="24"/>
          <w:szCs w:val="24"/>
          <w:lang w:eastAsia="es-ES"/>
        </w:rPr>
      </w:pPr>
      <w:hyperlink w:anchor="_Toc221560196" w:history="1">
        <w:r w:rsidRPr="00A17974">
          <w:rPr>
            <w:rStyle w:val="Hipervnculo"/>
            <w:noProof/>
            <w:highlight w:val="yellow"/>
          </w:rPr>
          <w:t>La Relación Electrónica con la Administración</w:t>
        </w:r>
        <w:r>
          <w:rPr>
            <w:noProof/>
            <w:webHidden/>
          </w:rPr>
          <w:tab/>
        </w:r>
        <w:r>
          <w:rPr>
            <w:noProof/>
            <w:webHidden/>
          </w:rPr>
          <w:fldChar w:fldCharType="begin"/>
        </w:r>
        <w:r>
          <w:rPr>
            <w:noProof/>
            <w:webHidden/>
          </w:rPr>
          <w:instrText xml:space="preserve"> PAGEREF _Toc221560196 \h </w:instrText>
        </w:r>
        <w:r>
          <w:rPr>
            <w:noProof/>
            <w:webHidden/>
          </w:rPr>
        </w:r>
        <w:r>
          <w:rPr>
            <w:noProof/>
            <w:webHidden/>
          </w:rPr>
          <w:fldChar w:fldCharType="separate"/>
        </w:r>
        <w:r>
          <w:rPr>
            <w:noProof/>
            <w:webHidden/>
          </w:rPr>
          <w:t>2</w:t>
        </w:r>
        <w:r>
          <w:rPr>
            <w:noProof/>
            <w:webHidden/>
          </w:rPr>
          <w:fldChar w:fldCharType="end"/>
        </w:r>
      </w:hyperlink>
    </w:p>
    <w:p w14:paraId="127AB76C" w14:textId="020B90D2" w:rsidR="002A5FCD" w:rsidRDefault="002A5FCD">
      <w:pPr>
        <w:pStyle w:val="TDC2"/>
        <w:tabs>
          <w:tab w:val="right" w:leader="dot" w:pos="8494"/>
        </w:tabs>
        <w:rPr>
          <w:rFonts w:asciiTheme="minorHAnsi" w:eastAsiaTheme="minorEastAsia" w:hAnsiTheme="minorHAnsi"/>
          <w:noProof/>
          <w:sz w:val="24"/>
          <w:szCs w:val="24"/>
          <w:lang w:eastAsia="es-ES"/>
        </w:rPr>
      </w:pPr>
      <w:hyperlink w:anchor="_Toc221560197" w:history="1">
        <w:r w:rsidRPr="00A17974">
          <w:rPr>
            <w:rStyle w:val="Hipervnculo"/>
            <w:noProof/>
            <w:highlight w:val="yellow"/>
          </w:rPr>
          <w:t>Documentos, Copias y Expedientes</w:t>
        </w:r>
        <w:r>
          <w:rPr>
            <w:noProof/>
            <w:webHidden/>
          </w:rPr>
          <w:tab/>
        </w:r>
        <w:r>
          <w:rPr>
            <w:noProof/>
            <w:webHidden/>
          </w:rPr>
          <w:fldChar w:fldCharType="begin"/>
        </w:r>
        <w:r>
          <w:rPr>
            <w:noProof/>
            <w:webHidden/>
          </w:rPr>
          <w:instrText xml:space="preserve"> PAGEREF _Toc221560197 \h </w:instrText>
        </w:r>
        <w:r>
          <w:rPr>
            <w:noProof/>
            <w:webHidden/>
          </w:rPr>
        </w:r>
        <w:r>
          <w:rPr>
            <w:noProof/>
            <w:webHidden/>
          </w:rPr>
          <w:fldChar w:fldCharType="separate"/>
        </w:r>
        <w:r>
          <w:rPr>
            <w:noProof/>
            <w:webHidden/>
          </w:rPr>
          <w:t>3</w:t>
        </w:r>
        <w:r>
          <w:rPr>
            <w:noProof/>
            <w:webHidden/>
          </w:rPr>
          <w:fldChar w:fldCharType="end"/>
        </w:r>
      </w:hyperlink>
    </w:p>
    <w:p w14:paraId="08DB7385" w14:textId="1E5A901A" w:rsidR="002A5FCD" w:rsidRDefault="002A5FCD">
      <w:pPr>
        <w:pStyle w:val="TDC2"/>
        <w:tabs>
          <w:tab w:val="right" w:leader="dot" w:pos="8494"/>
        </w:tabs>
        <w:rPr>
          <w:rFonts w:asciiTheme="minorHAnsi" w:eastAsiaTheme="minorEastAsia" w:hAnsiTheme="minorHAnsi"/>
          <w:noProof/>
          <w:sz w:val="24"/>
          <w:szCs w:val="24"/>
          <w:lang w:eastAsia="es-ES"/>
        </w:rPr>
      </w:pPr>
      <w:hyperlink w:anchor="_Toc221560198" w:history="1">
        <w:r w:rsidRPr="00A17974">
          <w:rPr>
            <w:rStyle w:val="Hipervnculo"/>
            <w:noProof/>
            <w:highlight w:val="yellow"/>
          </w:rPr>
          <w:t>Plazos y Notificaciones</w:t>
        </w:r>
        <w:r>
          <w:rPr>
            <w:noProof/>
            <w:webHidden/>
          </w:rPr>
          <w:tab/>
        </w:r>
        <w:r>
          <w:rPr>
            <w:noProof/>
            <w:webHidden/>
          </w:rPr>
          <w:fldChar w:fldCharType="begin"/>
        </w:r>
        <w:r>
          <w:rPr>
            <w:noProof/>
            <w:webHidden/>
          </w:rPr>
          <w:instrText xml:space="preserve"> PAGEREF _Toc221560198 \h </w:instrText>
        </w:r>
        <w:r>
          <w:rPr>
            <w:noProof/>
            <w:webHidden/>
          </w:rPr>
        </w:r>
        <w:r>
          <w:rPr>
            <w:noProof/>
            <w:webHidden/>
          </w:rPr>
          <w:fldChar w:fldCharType="separate"/>
        </w:r>
        <w:r>
          <w:rPr>
            <w:noProof/>
            <w:webHidden/>
          </w:rPr>
          <w:t>3</w:t>
        </w:r>
        <w:r>
          <w:rPr>
            <w:noProof/>
            <w:webHidden/>
          </w:rPr>
          <w:fldChar w:fldCharType="end"/>
        </w:r>
      </w:hyperlink>
    </w:p>
    <w:p w14:paraId="65EB5B27" w14:textId="0AF87777" w:rsidR="002A5FCD" w:rsidRDefault="002A5FCD">
      <w:pPr>
        <w:pStyle w:val="TDC2"/>
        <w:tabs>
          <w:tab w:val="right" w:leader="dot" w:pos="8494"/>
        </w:tabs>
        <w:rPr>
          <w:rFonts w:asciiTheme="minorHAnsi" w:eastAsiaTheme="minorEastAsia" w:hAnsiTheme="minorHAnsi"/>
          <w:noProof/>
          <w:sz w:val="24"/>
          <w:szCs w:val="24"/>
          <w:lang w:eastAsia="es-ES"/>
        </w:rPr>
      </w:pPr>
      <w:hyperlink w:anchor="_Toc221560199" w:history="1">
        <w:r w:rsidRPr="00A17974">
          <w:rPr>
            <w:rStyle w:val="Hipervnculo"/>
            <w:noProof/>
          </w:rPr>
          <w:t>Revisión de Actos y Recursos</w:t>
        </w:r>
        <w:r>
          <w:rPr>
            <w:noProof/>
            <w:webHidden/>
          </w:rPr>
          <w:tab/>
        </w:r>
        <w:r>
          <w:rPr>
            <w:noProof/>
            <w:webHidden/>
          </w:rPr>
          <w:fldChar w:fldCharType="begin"/>
        </w:r>
        <w:r>
          <w:rPr>
            <w:noProof/>
            <w:webHidden/>
          </w:rPr>
          <w:instrText xml:space="preserve"> PAGEREF _Toc221560199 \h </w:instrText>
        </w:r>
        <w:r>
          <w:rPr>
            <w:noProof/>
            <w:webHidden/>
          </w:rPr>
        </w:r>
        <w:r>
          <w:rPr>
            <w:noProof/>
            <w:webHidden/>
          </w:rPr>
          <w:fldChar w:fldCharType="separate"/>
        </w:r>
        <w:r>
          <w:rPr>
            <w:noProof/>
            <w:webHidden/>
          </w:rPr>
          <w:t>4</w:t>
        </w:r>
        <w:r>
          <w:rPr>
            <w:noProof/>
            <w:webHidden/>
          </w:rPr>
          <w:fldChar w:fldCharType="end"/>
        </w:r>
      </w:hyperlink>
    </w:p>
    <w:p w14:paraId="29DEE04C" w14:textId="1114DCF5" w:rsidR="00746F87" w:rsidRDefault="00405801" w:rsidP="008017F4">
      <w:pPr>
        <w:jc w:val="center"/>
        <w:rPr>
          <w:rFonts w:ascii="Arial Black" w:hAnsi="Arial Black"/>
          <w:sz w:val="36"/>
          <w:szCs w:val="28"/>
        </w:rPr>
      </w:pPr>
      <w:r>
        <w:rPr>
          <w:rFonts w:ascii="Arial Black" w:hAnsi="Arial Black"/>
          <w:sz w:val="36"/>
          <w:szCs w:val="28"/>
        </w:rPr>
        <w:fldChar w:fldCharType="end"/>
      </w:r>
    </w:p>
    <w:p w14:paraId="640B1A3A" w14:textId="37C799AF" w:rsidR="00746F87" w:rsidRDefault="00746F87" w:rsidP="00746F87">
      <w:pPr>
        <w:pStyle w:val="Ttulo2"/>
      </w:pPr>
      <w:bookmarkStart w:id="0" w:name="_Toc221560193"/>
      <w:r>
        <w:t>Objeto y Ámbito de Aplicación</w:t>
      </w:r>
      <w:bookmarkEnd w:id="0"/>
    </w:p>
    <w:p w14:paraId="0FEFE8AC" w14:textId="312D71CC" w:rsidR="00746F87" w:rsidRDefault="00746F87" w:rsidP="00746F87">
      <w:r w:rsidRPr="00746F87">
        <w:t>La ley regula los requisitos de validez y eficacia de los actos administrativos, el procedimiento administrativo común (incluyendo el sancionador y el de responsabilidad patrimonial) y los principios de la iniciativa legislativa. Se aplica a todo el sector público, que comprende la Administración General del Estado, las Autonómicas, las Locales y el sector público institucional</w:t>
      </w:r>
      <w:r w:rsidR="00531AA0">
        <w:t xml:space="preserve"> (</w:t>
      </w:r>
      <w:r w:rsidR="00531AA0" w:rsidRPr="00531AA0">
        <w:t>Organismos públicos y entidades de derecho público vinculados a las Administraciones</w:t>
      </w:r>
      <w:r w:rsidR="00531AA0">
        <w:t xml:space="preserve">, </w:t>
      </w:r>
      <w:r w:rsidR="00531AA0" w:rsidRPr="00531AA0">
        <w:t>Entidades de derecho privado (en lo que les sea aplicable cuando ejerzan potestades administrativas)</w:t>
      </w:r>
      <w:r w:rsidR="00531AA0">
        <w:t>)</w:t>
      </w:r>
      <w:r w:rsidRPr="00746F87">
        <w:t>. Dentro de este último, las universidades públicas se rigen por su normativa específica y supletoriamente por esta ley.</w:t>
      </w:r>
    </w:p>
    <w:p w14:paraId="70CB5589" w14:textId="77777777" w:rsidR="00746F87" w:rsidRDefault="00746F87" w:rsidP="00746F87"/>
    <w:p w14:paraId="077DB978" w14:textId="69D471F1" w:rsidR="00746F87" w:rsidRDefault="00746F87" w:rsidP="00746F87">
      <w:pPr>
        <w:pStyle w:val="Ttulo2"/>
      </w:pPr>
      <w:bookmarkStart w:id="1" w:name="_Toc221560194"/>
      <w:r w:rsidRPr="00474146">
        <w:rPr>
          <w:highlight w:val="yellow"/>
        </w:rPr>
        <w:t>Capacidad de Obrar y Representación</w:t>
      </w:r>
      <w:bookmarkEnd w:id="1"/>
    </w:p>
    <w:p w14:paraId="62F6DCF7" w14:textId="05879CC9" w:rsidR="00746F87" w:rsidRDefault="00746F87" w:rsidP="00746F87">
      <w:pPr>
        <w:pStyle w:val="Prrafodelista"/>
        <w:numPr>
          <w:ilvl w:val="0"/>
          <w:numId w:val="11"/>
        </w:numPr>
      </w:pPr>
      <w:r w:rsidRPr="008275D3">
        <w:rPr>
          <w:b/>
          <w:bCs/>
        </w:rPr>
        <w:t>Capacidad</w:t>
      </w:r>
      <w:r>
        <w:t>: Tienen capacidad de obrar las personas físicas/jurídicas según normas civiles, menores para defender derechos permitidos por el ordenamiento y, si la ley lo declara, grupos de afectados o entidades sin personalidad.</w:t>
      </w:r>
    </w:p>
    <w:p w14:paraId="3387D5DC" w14:textId="3FD4EE91" w:rsidR="00746F87" w:rsidRDefault="00746F87" w:rsidP="00746F87">
      <w:pPr>
        <w:pStyle w:val="Prrafodelista"/>
        <w:numPr>
          <w:ilvl w:val="0"/>
          <w:numId w:val="11"/>
        </w:numPr>
      </w:pPr>
      <w:r w:rsidRPr="008275D3">
        <w:rPr>
          <w:b/>
          <w:bCs/>
        </w:rPr>
        <w:t>Representación</w:t>
      </w:r>
      <w:r>
        <w:t>: Los interesados pueden actuar por representante. Es obligatorio acreditar la representación para firmar solicitudes, presentar declaraciones responsables, interponer recursos o renunciar a derechos.</w:t>
      </w:r>
    </w:p>
    <w:p w14:paraId="04526DB6" w14:textId="2DC310D9" w:rsidR="00746F87" w:rsidRPr="00474146" w:rsidRDefault="00746F87" w:rsidP="00746F87">
      <w:pPr>
        <w:pStyle w:val="Prrafodelista"/>
        <w:numPr>
          <w:ilvl w:val="0"/>
          <w:numId w:val="11"/>
        </w:numPr>
        <w:rPr>
          <w:highlight w:val="yellow"/>
        </w:rPr>
      </w:pPr>
      <w:r w:rsidRPr="008275D3">
        <w:rPr>
          <w:b/>
          <w:bCs/>
          <w:highlight w:val="yellow"/>
        </w:rPr>
        <w:lastRenderedPageBreak/>
        <w:t>Registros de Apoderamientos</w:t>
      </w:r>
      <w:r w:rsidRPr="00474146">
        <w:rPr>
          <w:highlight w:val="yellow"/>
        </w:rPr>
        <w:t>: Cada Administración debe tener un registro electrónico de apoderamientos interoperable. Los poderes inscritos tienen una validez máxima de cinco años, prorrogables por otros cinco.</w:t>
      </w:r>
    </w:p>
    <w:p w14:paraId="3D5A0374" w14:textId="77777777" w:rsidR="00746F87" w:rsidRDefault="00746F87" w:rsidP="00746F87"/>
    <w:p w14:paraId="19A902E9" w14:textId="0A3A2E79" w:rsidR="00746F87" w:rsidRDefault="00746F87" w:rsidP="00746F87">
      <w:pPr>
        <w:pStyle w:val="Ttulo2"/>
      </w:pPr>
      <w:bookmarkStart w:id="2" w:name="_Toc221560195"/>
      <w:r w:rsidRPr="006B7936">
        <w:rPr>
          <w:highlight w:val="yellow"/>
        </w:rPr>
        <w:t>Identificación y Firma Electrónica</w:t>
      </w:r>
      <w:bookmarkEnd w:id="2"/>
    </w:p>
    <w:p w14:paraId="2E05DF73" w14:textId="77777777" w:rsidR="004F3AF6" w:rsidRDefault="004F3AF6" w:rsidP="004F3AF6">
      <w:r>
        <w:t>Las fuentes distinguen claramente entre ambos conceptos:</w:t>
      </w:r>
    </w:p>
    <w:p w14:paraId="325A0297" w14:textId="58CBF0C9" w:rsidR="004F3AF6" w:rsidRPr="006B7936" w:rsidRDefault="004F3AF6" w:rsidP="004F3AF6">
      <w:pPr>
        <w:pStyle w:val="Prrafodelista"/>
        <w:numPr>
          <w:ilvl w:val="0"/>
          <w:numId w:val="12"/>
        </w:numPr>
        <w:rPr>
          <w:highlight w:val="yellow"/>
        </w:rPr>
      </w:pPr>
      <w:r w:rsidRPr="008275D3">
        <w:rPr>
          <w:b/>
          <w:bCs/>
          <w:highlight w:val="yellow"/>
        </w:rPr>
        <w:t>Identificación</w:t>
      </w:r>
      <w:r w:rsidRPr="006B7936">
        <w:rPr>
          <w:highlight w:val="yellow"/>
        </w:rPr>
        <w:t>: Las Administraciones deben verificar la identidad de los interesados. Se admiten sistemas basados en certificados cualificados de firma o sello electrónico, y otros sistemas de clave concertada previa comunicación a la Secretaría General de Administración Digital.</w:t>
      </w:r>
    </w:p>
    <w:p w14:paraId="42221D18" w14:textId="7C920F95" w:rsidR="004F3AF6" w:rsidRPr="006B7936" w:rsidRDefault="004F3AF6" w:rsidP="004F3AF6">
      <w:pPr>
        <w:pStyle w:val="Prrafodelista"/>
        <w:numPr>
          <w:ilvl w:val="0"/>
          <w:numId w:val="12"/>
        </w:numPr>
        <w:rPr>
          <w:highlight w:val="yellow"/>
        </w:rPr>
      </w:pPr>
      <w:r w:rsidRPr="008275D3">
        <w:rPr>
          <w:b/>
          <w:bCs/>
          <w:highlight w:val="yellow"/>
        </w:rPr>
        <w:t>Firma</w:t>
      </w:r>
      <w:r w:rsidRPr="006B7936">
        <w:rPr>
          <w:highlight w:val="yellow"/>
        </w:rPr>
        <w:t>: Necesaria para acreditar la voluntad y consentimiento. Se admiten sistemas de firma electrónica cualificada y avanzada, sello electrónico cualificado/avanzado y otros sistemas válidos.</w:t>
      </w:r>
    </w:p>
    <w:p w14:paraId="31C2EB13" w14:textId="350CD2BC" w:rsidR="004F3AF6" w:rsidRDefault="004F3AF6" w:rsidP="004F3AF6">
      <w:pPr>
        <w:pStyle w:val="Prrafodelista"/>
        <w:numPr>
          <w:ilvl w:val="0"/>
          <w:numId w:val="12"/>
        </w:numPr>
        <w:rPr>
          <w:highlight w:val="yellow"/>
        </w:rPr>
      </w:pPr>
      <w:r w:rsidRPr="008275D3">
        <w:rPr>
          <w:b/>
          <w:bCs/>
          <w:highlight w:val="yellow"/>
        </w:rPr>
        <w:t>Uso obligatorio de firma</w:t>
      </w:r>
      <w:r w:rsidRPr="006B7936">
        <w:rPr>
          <w:highlight w:val="yellow"/>
        </w:rPr>
        <w:t>: Solo se requiere para formular solicitudes, presentar declaraciones/comunicaciones, interponer recursos, desistir de acciones o renunciar a derechos. Para el resto de actuaciones basta la identificación.</w:t>
      </w:r>
    </w:p>
    <w:p w14:paraId="50B76BD4" w14:textId="4F79B57E" w:rsidR="006B7936" w:rsidRDefault="006B7936" w:rsidP="004F3AF6">
      <w:pPr>
        <w:pStyle w:val="Prrafodelista"/>
        <w:numPr>
          <w:ilvl w:val="0"/>
          <w:numId w:val="12"/>
        </w:numPr>
        <w:rPr>
          <w:highlight w:val="yellow"/>
        </w:rPr>
      </w:pPr>
      <w:r w:rsidRPr="008275D3">
        <w:rPr>
          <w:b/>
          <w:bCs/>
          <w:highlight w:val="yellow"/>
        </w:rPr>
        <w:t>OJO (Pregunta de examen):</w:t>
      </w:r>
      <w:r w:rsidRPr="006B7936">
        <w:rPr>
          <w:highlight w:val="yellow"/>
        </w:rPr>
        <w:t xml:space="preserve"> Para el resto de actuaciones (como consultas de datos) basta la identificación y no se requiere firma</w:t>
      </w:r>
      <w:r w:rsidR="00377BA6">
        <w:rPr>
          <w:highlight w:val="yellow"/>
        </w:rPr>
        <w:t>.</w:t>
      </w:r>
    </w:p>
    <w:p w14:paraId="776F66C6" w14:textId="07E30817" w:rsidR="00377BA6" w:rsidRPr="00377BA6" w:rsidRDefault="00377BA6" w:rsidP="004F3AF6">
      <w:pPr>
        <w:pStyle w:val="Prrafodelista"/>
        <w:numPr>
          <w:ilvl w:val="0"/>
          <w:numId w:val="12"/>
        </w:numPr>
        <w:rPr>
          <w:highlight w:val="yellow"/>
        </w:rPr>
      </w:pPr>
      <w:r w:rsidRPr="008275D3">
        <w:rPr>
          <w:b/>
          <w:bCs/>
          <w:highlight w:val="yellow"/>
        </w:rPr>
        <w:t>Vigencia del DNIe</w:t>
      </w:r>
      <w:r w:rsidRPr="00377BA6">
        <w:rPr>
          <w:highlight w:val="yellow"/>
        </w:rPr>
        <w:t>: Subraya que la vigencia de los certificados electrónicos del DNI no podrá ser superior a cinco años.</w:t>
      </w:r>
    </w:p>
    <w:p w14:paraId="594A93B3" w14:textId="7CB443B8" w:rsidR="00746F87" w:rsidRPr="006B7936" w:rsidRDefault="004F3AF6" w:rsidP="004F3AF6">
      <w:pPr>
        <w:pStyle w:val="Prrafodelista"/>
        <w:numPr>
          <w:ilvl w:val="0"/>
          <w:numId w:val="12"/>
        </w:numPr>
        <w:rPr>
          <w:highlight w:val="yellow"/>
        </w:rPr>
      </w:pPr>
      <w:r w:rsidRPr="008275D3">
        <w:rPr>
          <w:b/>
          <w:bCs/>
          <w:highlight w:val="yellow"/>
        </w:rPr>
        <w:t>Habilitación</w:t>
      </w:r>
      <w:r w:rsidRPr="006B7936">
        <w:rPr>
          <w:highlight w:val="yellow"/>
        </w:rPr>
        <w:t>: Los funcionarios públicos pueden identificar o firmar en nombre de interesados que no dispongan de medios electrónicos, siempre que el interesado se identifique y preste consentimiento expreso.</w:t>
      </w:r>
    </w:p>
    <w:p w14:paraId="6F24105B" w14:textId="77777777" w:rsidR="004F3AF6" w:rsidRDefault="004F3AF6" w:rsidP="004F3AF6"/>
    <w:p w14:paraId="4287BB0A" w14:textId="47F7AF5A" w:rsidR="004F3AF6" w:rsidRDefault="004F3AF6" w:rsidP="004F3AF6">
      <w:pPr>
        <w:pStyle w:val="Ttulo2"/>
      </w:pPr>
      <w:bookmarkStart w:id="3" w:name="_Toc221560196"/>
      <w:r w:rsidRPr="00465D5D">
        <w:rPr>
          <w:highlight w:val="yellow"/>
        </w:rPr>
        <w:t>La Relación Electrónica con la Administración</w:t>
      </w:r>
      <w:bookmarkEnd w:id="3"/>
    </w:p>
    <w:p w14:paraId="582FF4BD" w14:textId="5511038E" w:rsidR="004F3AF6" w:rsidRPr="00465D5D" w:rsidRDefault="004F3AF6" w:rsidP="004F3AF6">
      <w:pPr>
        <w:pStyle w:val="Prrafodelista"/>
        <w:numPr>
          <w:ilvl w:val="0"/>
          <w:numId w:val="13"/>
        </w:numPr>
        <w:rPr>
          <w:highlight w:val="yellow"/>
        </w:rPr>
      </w:pPr>
      <w:r w:rsidRPr="008275D3">
        <w:rPr>
          <w:b/>
          <w:bCs/>
          <w:highlight w:val="yellow"/>
        </w:rPr>
        <w:t>Derecho y Obligación</w:t>
      </w:r>
      <w:r w:rsidRPr="00465D5D">
        <w:rPr>
          <w:highlight w:val="yellow"/>
        </w:rPr>
        <w:t>: Las personas físicas eligen el medio de comunicación. Sin embargo, están obligados a relacionarse electrónicamente: personas jurídicas, entidades sin personalidad, profesionales de colegiación obligatoria (notarios, registradores), representantes de sujetos obligados y empleados públicos para trámites por su condición.</w:t>
      </w:r>
    </w:p>
    <w:p w14:paraId="42CCCC9A" w14:textId="6B62AEA0" w:rsidR="004F3AF6" w:rsidRPr="008275D3" w:rsidRDefault="004F3AF6" w:rsidP="004F3AF6">
      <w:pPr>
        <w:pStyle w:val="Prrafodelista"/>
        <w:numPr>
          <w:ilvl w:val="0"/>
          <w:numId w:val="13"/>
        </w:numPr>
        <w:rPr>
          <w:highlight w:val="yellow"/>
        </w:rPr>
      </w:pPr>
      <w:r w:rsidRPr="008275D3">
        <w:rPr>
          <w:b/>
          <w:bCs/>
          <w:highlight w:val="yellow"/>
        </w:rPr>
        <w:t>Registros</w:t>
      </w:r>
      <w:r w:rsidRPr="008275D3">
        <w:rPr>
          <w:highlight w:val="yellow"/>
        </w:rPr>
        <w:t>: Cada Administración dispondrá de un Registro Electrónico General interoperable. Los documentos presentados presencialmente deben ser digitalizados por la oficina de asistencia, devolviendo los originales al interesado.</w:t>
      </w:r>
    </w:p>
    <w:p w14:paraId="49A68F83" w14:textId="6B25442C" w:rsidR="004F3AF6" w:rsidRDefault="004F3AF6" w:rsidP="004F3AF6">
      <w:pPr>
        <w:pStyle w:val="Prrafodelista"/>
        <w:numPr>
          <w:ilvl w:val="0"/>
          <w:numId w:val="13"/>
        </w:numPr>
      </w:pPr>
      <w:r w:rsidRPr="008275D3">
        <w:rPr>
          <w:b/>
          <w:bCs/>
        </w:rPr>
        <w:t>Archivo Electrónico Único</w:t>
      </w:r>
      <w:r>
        <w:t>: Obligación de mantener un archivo electrónico de documentos de procedimientos finalizados. Los formatos deben garantizar la autenticidad, integridad y conservación, permitiendo el traslado de datos a otros soportes.</w:t>
      </w:r>
    </w:p>
    <w:p w14:paraId="4797035E" w14:textId="77777777" w:rsidR="004F3AF6" w:rsidRDefault="004F3AF6" w:rsidP="004F3AF6"/>
    <w:p w14:paraId="0CAF3EBA" w14:textId="1BF26F45" w:rsidR="004F3AF6" w:rsidRPr="00465D5D" w:rsidRDefault="004F3AF6" w:rsidP="004F3AF6">
      <w:pPr>
        <w:pStyle w:val="Ttulo2"/>
        <w:rPr>
          <w:highlight w:val="yellow"/>
        </w:rPr>
      </w:pPr>
      <w:bookmarkStart w:id="4" w:name="_Toc221560197"/>
      <w:r w:rsidRPr="00465D5D">
        <w:rPr>
          <w:highlight w:val="yellow"/>
        </w:rPr>
        <w:t>Documentos, Copias y Expedientes</w:t>
      </w:r>
      <w:bookmarkEnd w:id="4"/>
    </w:p>
    <w:p w14:paraId="01E31C3D" w14:textId="35BDB4C7" w:rsidR="004F3AF6" w:rsidRPr="00465D5D" w:rsidRDefault="004F3AF6" w:rsidP="004F3AF6">
      <w:pPr>
        <w:pStyle w:val="Prrafodelista"/>
        <w:numPr>
          <w:ilvl w:val="0"/>
          <w:numId w:val="14"/>
        </w:numPr>
        <w:rPr>
          <w:highlight w:val="yellow"/>
        </w:rPr>
      </w:pPr>
      <w:r w:rsidRPr="008275D3">
        <w:rPr>
          <w:b/>
          <w:bCs/>
          <w:highlight w:val="yellow"/>
        </w:rPr>
        <w:t>Documento Electrónico</w:t>
      </w:r>
      <w:r w:rsidRPr="00465D5D">
        <w:rPr>
          <w:highlight w:val="yellow"/>
        </w:rPr>
        <w:t>: Para ser válido debe tener soporte electrónico, datos de individualización, referencia temporal, metadatos mínimos y firmas electrónicas.</w:t>
      </w:r>
    </w:p>
    <w:p w14:paraId="00BEF7E0" w14:textId="1631E4E4" w:rsidR="004F3AF6" w:rsidRDefault="004F3AF6" w:rsidP="004F3AF6">
      <w:pPr>
        <w:pStyle w:val="Prrafodelista"/>
        <w:numPr>
          <w:ilvl w:val="0"/>
          <w:numId w:val="14"/>
        </w:numPr>
        <w:rPr>
          <w:highlight w:val="yellow"/>
        </w:rPr>
      </w:pPr>
      <w:r w:rsidRPr="008275D3">
        <w:rPr>
          <w:b/>
          <w:bCs/>
          <w:highlight w:val="yellow"/>
        </w:rPr>
        <w:t>Copias Auténticas</w:t>
      </w:r>
      <w:r w:rsidRPr="00465D5D">
        <w:rPr>
          <w:highlight w:val="yellow"/>
        </w:rPr>
        <w:t>: Tienen la misma validez que los originales. Si son electrónicas, deben incluir metadatos que acrediten su condición de copia. Las copias en papel de documentos electrónicos requieren un código seguro de verificación (CSV) para contrastar su autenticidad.</w:t>
      </w:r>
    </w:p>
    <w:p w14:paraId="2607F921" w14:textId="76DE703D" w:rsidR="00EF7F4C" w:rsidRPr="00EF7F4C" w:rsidRDefault="00EF7F4C" w:rsidP="004F3AF6">
      <w:pPr>
        <w:pStyle w:val="Prrafodelista"/>
        <w:numPr>
          <w:ilvl w:val="0"/>
          <w:numId w:val="14"/>
        </w:numPr>
        <w:rPr>
          <w:highlight w:val="yellow"/>
        </w:rPr>
      </w:pPr>
      <w:r w:rsidRPr="008275D3">
        <w:rPr>
          <w:b/>
          <w:bCs/>
          <w:highlight w:val="yellow"/>
        </w:rPr>
        <w:t>Digitalización y Conservación</w:t>
      </w:r>
      <w:r w:rsidRPr="00EF7F4C">
        <w:rPr>
          <w:highlight w:val="yellow"/>
        </w:rPr>
        <w:t>: Subraya que los documentos en papel que no se devuelvan tras ser digitalizados se conservarán al menos seis meses antes de su eliminación segura</w:t>
      </w:r>
      <w:r w:rsidRPr="00EF7F4C">
        <w:rPr>
          <w:highlight w:val="yellow"/>
        </w:rPr>
        <w:t>.</w:t>
      </w:r>
    </w:p>
    <w:p w14:paraId="1C2BB077" w14:textId="5B85E718" w:rsidR="004F3AF6" w:rsidRPr="00465D5D" w:rsidRDefault="004F3AF6" w:rsidP="004F3AF6">
      <w:pPr>
        <w:pStyle w:val="Prrafodelista"/>
        <w:numPr>
          <w:ilvl w:val="0"/>
          <w:numId w:val="14"/>
        </w:numPr>
        <w:rPr>
          <w:highlight w:val="yellow"/>
        </w:rPr>
      </w:pPr>
      <w:r w:rsidRPr="008275D3">
        <w:rPr>
          <w:b/>
          <w:bCs/>
          <w:highlight w:val="yellow"/>
        </w:rPr>
        <w:t>Expediente Administrativo</w:t>
      </w:r>
      <w:r w:rsidRPr="00465D5D">
        <w:rPr>
          <w:highlight w:val="yellow"/>
        </w:rPr>
        <w:t>: Tiene formato electrónico. Se remite completo, foliado, autentificado y con un índice electrónico autenticado que garantiza su integridad e inmutabilidad.</w:t>
      </w:r>
      <w:r w:rsidR="00853E57" w:rsidRPr="00465D5D">
        <w:rPr>
          <w:highlight w:val="yellow"/>
        </w:rPr>
        <w:t xml:space="preserve"> Los documentos deben incluir metadatos mínimos obligatorios.</w:t>
      </w:r>
    </w:p>
    <w:p w14:paraId="4F8635CC" w14:textId="77777777" w:rsidR="004F3AF6" w:rsidRDefault="004F3AF6" w:rsidP="004F3AF6"/>
    <w:p w14:paraId="12F9159D" w14:textId="78BED12B" w:rsidR="00D97E77" w:rsidRDefault="004F3AF6" w:rsidP="00D97E77">
      <w:pPr>
        <w:pStyle w:val="Ttulo2"/>
      </w:pPr>
      <w:bookmarkStart w:id="5" w:name="_Toc221560198"/>
      <w:r w:rsidRPr="00465D5D">
        <w:rPr>
          <w:highlight w:val="yellow"/>
        </w:rPr>
        <w:t>Plazos y Notificaciones</w:t>
      </w:r>
      <w:bookmarkEnd w:id="5"/>
    </w:p>
    <w:p w14:paraId="6F8688D1" w14:textId="21BCA15D" w:rsidR="00D97E77" w:rsidRPr="00D97E77" w:rsidRDefault="00D97E77" w:rsidP="00D97E77">
      <w:pPr>
        <w:pStyle w:val="Prrafodelista"/>
        <w:numPr>
          <w:ilvl w:val="0"/>
          <w:numId w:val="17"/>
        </w:numPr>
        <w:rPr>
          <w:highlight w:val="yellow"/>
        </w:rPr>
      </w:pPr>
      <w:r w:rsidRPr="008275D3">
        <w:rPr>
          <w:b/>
          <w:bCs/>
          <w:highlight w:val="yellow"/>
        </w:rPr>
        <w:t>Inicio del cómputo</w:t>
      </w:r>
      <w:r w:rsidRPr="00D97E77">
        <w:rPr>
          <w:highlight w:val="yellow"/>
        </w:rPr>
        <w:t>: Se cuentan siempre a partir del día siguiente a la notificación o publicación.</w:t>
      </w:r>
    </w:p>
    <w:p w14:paraId="60876501" w14:textId="77777777" w:rsidR="004F3AF6" w:rsidRPr="00474146" w:rsidRDefault="004F3AF6" w:rsidP="004F3AF6">
      <w:pPr>
        <w:pStyle w:val="Prrafodelista"/>
        <w:numPr>
          <w:ilvl w:val="0"/>
          <w:numId w:val="15"/>
        </w:numPr>
        <w:rPr>
          <w:highlight w:val="yellow"/>
        </w:rPr>
      </w:pPr>
      <w:r w:rsidRPr="008275D3">
        <w:rPr>
          <w:b/>
          <w:bCs/>
          <w:highlight w:val="yellow"/>
        </w:rPr>
        <w:t>Cómputo de plazos</w:t>
      </w:r>
      <w:r w:rsidRPr="00474146">
        <w:rPr>
          <w:highlight w:val="yellow"/>
        </w:rPr>
        <w:t>: Si es por horas, son hábiles y no pueden superar las 24 horas. Si es por días, se entienden hábiles, excluyendo sábados, domingos y festivos.</w:t>
      </w:r>
    </w:p>
    <w:p w14:paraId="69175D3F" w14:textId="07A56C8B" w:rsidR="004F3AF6" w:rsidRPr="00EF7F4C" w:rsidRDefault="004F3AF6" w:rsidP="004F3AF6">
      <w:pPr>
        <w:pStyle w:val="Prrafodelista"/>
        <w:numPr>
          <w:ilvl w:val="0"/>
          <w:numId w:val="15"/>
        </w:numPr>
        <w:rPr>
          <w:highlight w:val="yellow"/>
        </w:rPr>
      </w:pPr>
      <w:r w:rsidRPr="008275D3">
        <w:rPr>
          <w:b/>
          <w:bCs/>
          <w:highlight w:val="yellow"/>
        </w:rPr>
        <w:t>Notificaciones</w:t>
      </w:r>
      <w:r w:rsidRPr="00EF7F4C">
        <w:rPr>
          <w:highlight w:val="yellow"/>
        </w:rPr>
        <w:t xml:space="preserve">: Se practican preferentemente por medios electrónicos. Se entienden practicadas en el momento del acceso al contenido. </w:t>
      </w:r>
      <w:r w:rsidR="00EF7F4C" w:rsidRPr="00EF7F4C">
        <w:rPr>
          <w:highlight w:val="yellow"/>
        </w:rPr>
        <w:t xml:space="preserve">15 días para cursar la notificación desde que se dicte el acto. </w:t>
      </w:r>
      <w:r w:rsidRPr="00EF7F4C">
        <w:rPr>
          <w:highlight w:val="yellow"/>
        </w:rPr>
        <w:t>Si es obligatoria, se entiende rechazada si pasan 10 días naturales sin acceder a ella.</w:t>
      </w:r>
    </w:p>
    <w:p w14:paraId="7ACFDE52" w14:textId="508067B5" w:rsidR="004F3AF6" w:rsidRDefault="004F3AF6" w:rsidP="004F3AF6">
      <w:pPr>
        <w:pStyle w:val="Prrafodelista"/>
        <w:numPr>
          <w:ilvl w:val="0"/>
          <w:numId w:val="15"/>
        </w:numPr>
      </w:pPr>
      <w:r w:rsidRPr="008275D3">
        <w:rPr>
          <w:b/>
          <w:bCs/>
        </w:rPr>
        <w:t>Anuncio en el BOE</w:t>
      </w:r>
      <w:r>
        <w:t>: Es el medio obligatorio para notificaciones infructuosas (interesados desconocidos o ignorado el lugar).</w:t>
      </w:r>
    </w:p>
    <w:p w14:paraId="6CEA36EE" w14:textId="77777777" w:rsidR="004F3AF6" w:rsidRDefault="004F3AF6" w:rsidP="004F3AF6"/>
    <w:p w14:paraId="667B646A" w14:textId="3D0F5B21" w:rsidR="004F3AF6" w:rsidRDefault="00E41CCD" w:rsidP="00E41CCD">
      <w:pPr>
        <w:pStyle w:val="Ttulo2"/>
      </w:pPr>
      <w:bookmarkStart w:id="6" w:name="_Toc221560199"/>
      <w:r w:rsidRPr="00E41CCD">
        <w:t>Revisión de Actos y Recursos</w:t>
      </w:r>
      <w:bookmarkEnd w:id="6"/>
    </w:p>
    <w:p w14:paraId="4D85475A" w14:textId="77777777" w:rsidR="00E41CCD" w:rsidRDefault="00E41CCD" w:rsidP="00E41CCD">
      <w:pPr>
        <w:pStyle w:val="Prrafodelista"/>
        <w:numPr>
          <w:ilvl w:val="0"/>
          <w:numId w:val="16"/>
        </w:numPr>
      </w:pPr>
      <w:r w:rsidRPr="008275D3">
        <w:rPr>
          <w:b/>
          <w:bCs/>
        </w:rPr>
        <w:t>Nulidad de pleno derecho</w:t>
      </w:r>
      <w:r>
        <w:t>: Actos que lesionen derechos fundamentales, dictados por órganos incompetentes, de contenido imposible o constitutivos de infracción penal, entre otros.</w:t>
      </w:r>
    </w:p>
    <w:p w14:paraId="342DD34A" w14:textId="77777777" w:rsidR="00E41CCD" w:rsidRDefault="00E41CCD" w:rsidP="00E41CCD">
      <w:pPr>
        <w:pStyle w:val="Prrafodelista"/>
        <w:numPr>
          <w:ilvl w:val="0"/>
          <w:numId w:val="16"/>
        </w:numPr>
      </w:pPr>
      <w:r w:rsidRPr="008275D3">
        <w:rPr>
          <w:b/>
          <w:bCs/>
        </w:rPr>
        <w:t>Recursos</w:t>
      </w:r>
      <w:r>
        <w:t>:</w:t>
      </w:r>
    </w:p>
    <w:p w14:paraId="72EA1B1C" w14:textId="77777777" w:rsidR="00E41CCD" w:rsidRDefault="00E41CCD" w:rsidP="00E41CCD">
      <w:pPr>
        <w:pStyle w:val="Prrafodelista"/>
        <w:numPr>
          <w:ilvl w:val="1"/>
          <w:numId w:val="16"/>
        </w:numPr>
      </w:pPr>
      <w:r w:rsidRPr="008275D3">
        <w:rPr>
          <w:b/>
          <w:bCs/>
        </w:rPr>
        <w:t>Alzada</w:t>
      </w:r>
      <w:r>
        <w:t>: Contra actos que no ponen fin a la vía administrativa; se interpone ante el superior jerárquico. Plazo: 1 mes (expreso) o en cualquier momento (silencio).</w:t>
      </w:r>
    </w:p>
    <w:p w14:paraId="07AD0CEA" w14:textId="77777777" w:rsidR="00E41CCD" w:rsidRDefault="00E41CCD" w:rsidP="00E41CCD">
      <w:pPr>
        <w:pStyle w:val="Prrafodelista"/>
        <w:numPr>
          <w:ilvl w:val="1"/>
          <w:numId w:val="16"/>
        </w:numPr>
      </w:pPr>
      <w:r w:rsidRPr="008275D3">
        <w:rPr>
          <w:b/>
          <w:bCs/>
        </w:rPr>
        <w:t>Reposición</w:t>
      </w:r>
      <w:r>
        <w:t>: Potestativo, contra actos que ponen fin a la vía administrativa, ante el mismo órgano. Plazo: 1 mes.</w:t>
      </w:r>
    </w:p>
    <w:p w14:paraId="4DA5F509" w14:textId="3ADB3C82" w:rsidR="00E41CCD" w:rsidRDefault="00E41CCD" w:rsidP="00E41CCD">
      <w:pPr>
        <w:pStyle w:val="Prrafodelista"/>
        <w:numPr>
          <w:ilvl w:val="1"/>
          <w:numId w:val="16"/>
        </w:numPr>
      </w:pPr>
      <w:r w:rsidRPr="008275D3">
        <w:rPr>
          <w:b/>
          <w:bCs/>
        </w:rPr>
        <w:t>Extraordinario de revisión</w:t>
      </w:r>
      <w:r>
        <w:t>: Contra actos firmes si hubo error de hecho, aparecen documentos esenciales o hubo prevaricación/falsedad.</w:t>
      </w:r>
    </w:p>
    <w:p w14:paraId="40A9ACB2" w14:textId="72B636CE" w:rsidR="00E41CCD" w:rsidRPr="00E41CCD" w:rsidRDefault="00E41CCD" w:rsidP="00E41CCD">
      <w:r>
        <w:t>Como puedes ver en las fuentes, la ley busca una tramitación íntegramente electrónica para ahorrar costes y reforzar la transparencia y seguridad jurídica de los interesados.</w:t>
      </w:r>
    </w:p>
    <w:sectPr w:rsidR="00E41CCD" w:rsidRPr="00E41CCD">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4AAD4" w14:textId="77777777" w:rsidR="00BC04CA" w:rsidRDefault="00BC04CA" w:rsidP="00B84168">
      <w:pPr>
        <w:spacing w:after="0" w:line="240" w:lineRule="auto"/>
      </w:pPr>
      <w:r>
        <w:separator/>
      </w:r>
    </w:p>
  </w:endnote>
  <w:endnote w:type="continuationSeparator" w:id="0">
    <w:p w14:paraId="5124558A" w14:textId="77777777" w:rsidR="00BC04CA" w:rsidRDefault="00BC04CA" w:rsidP="00B841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8919254"/>
      <w:docPartObj>
        <w:docPartGallery w:val="Page Numbers (Bottom of Page)"/>
        <w:docPartUnique/>
      </w:docPartObj>
    </w:sdtPr>
    <w:sdtContent>
      <w:p w14:paraId="68668876" w14:textId="3E69DD2B" w:rsidR="00B84168" w:rsidRDefault="00B84168">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23F16BF1" w14:textId="77777777" w:rsidR="00B84168" w:rsidRDefault="00B8416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77F32" w14:textId="77777777" w:rsidR="00BC04CA" w:rsidRDefault="00BC04CA" w:rsidP="00B84168">
      <w:pPr>
        <w:spacing w:after="0" w:line="240" w:lineRule="auto"/>
      </w:pPr>
      <w:r>
        <w:separator/>
      </w:r>
    </w:p>
  </w:footnote>
  <w:footnote w:type="continuationSeparator" w:id="0">
    <w:p w14:paraId="7A4FE862" w14:textId="77777777" w:rsidR="00BC04CA" w:rsidRDefault="00BC04CA" w:rsidP="00B841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309"/>
    <w:multiLevelType w:val="hybridMultilevel"/>
    <w:tmpl w:val="DD50FD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5284D02"/>
    <w:multiLevelType w:val="hybridMultilevel"/>
    <w:tmpl w:val="2A6CC2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55F1AAF"/>
    <w:multiLevelType w:val="hybridMultilevel"/>
    <w:tmpl w:val="C4EC47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7F4579"/>
    <w:multiLevelType w:val="hybridMultilevel"/>
    <w:tmpl w:val="FB0A57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A0D09FD"/>
    <w:multiLevelType w:val="hybridMultilevel"/>
    <w:tmpl w:val="D2F20E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B2554EB"/>
    <w:multiLevelType w:val="hybridMultilevel"/>
    <w:tmpl w:val="E4D0BD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D8761D2"/>
    <w:multiLevelType w:val="hybridMultilevel"/>
    <w:tmpl w:val="A24007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FB41E7E"/>
    <w:multiLevelType w:val="hybridMultilevel"/>
    <w:tmpl w:val="E5A802F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15217FE"/>
    <w:multiLevelType w:val="hybridMultilevel"/>
    <w:tmpl w:val="28C802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6D06682"/>
    <w:multiLevelType w:val="hybridMultilevel"/>
    <w:tmpl w:val="787CCE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8F77046"/>
    <w:multiLevelType w:val="hybridMultilevel"/>
    <w:tmpl w:val="055010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9936327"/>
    <w:multiLevelType w:val="hybridMultilevel"/>
    <w:tmpl w:val="37BEEFA0"/>
    <w:lvl w:ilvl="0" w:tplc="8CAE5A5A">
      <w:start w:val="1"/>
      <w:numFmt w:val="decimal"/>
      <w:lvlText w:val="%1."/>
      <w:lvlJc w:val="left"/>
      <w:pPr>
        <w:ind w:left="1800" w:hanging="360"/>
      </w:pPr>
      <w:rPr>
        <w:rFonts w:hint="default"/>
        <w:b w:val="0"/>
        <w:bCs/>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12" w15:restartNumberingAfterBreak="0">
    <w:nsid w:val="542B454D"/>
    <w:multiLevelType w:val="hybridMultilevel"/>
    <w:tmpl w:val="A6DCBB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82D734B"/>
    <w:multiLevelType w:val="hybridMultilevel"/>
    <w:tmpl w:val="B7281458"/>
    <w:lvl w:ilvl="0" w:tplc="206E87E4">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4" w15:restartNumberingAfterBreak="0">
    <w:nsid w:val="5F7F5C3E"/>
    <w:multiLevelType w:val="hybridMultilevel"/>
    <w:tmpl w:val="FB3CED9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D8A126E"/>
    <w:multiLevelType w:val="hybridMultilevel"/>
    <w:tmpl w:val="4F7CCB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C1922C0"/>
    <w:multiLevelType w:val="hybridMultilevel"/>
    <w:tmpl w:val="90045AE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68823559">
    <w:abstractNumId w:val="2"/>
  </w:num>
  <w:num w:numId="2" w16cid:durableId="140387239">
    <w:abstractNumId w:val="0"/>
  </w:num>
  <w:num w:numId="3" w16cid:durableId="986544039">
    <w:abstractNumId w:val="13"/>
  </w:num>
  <w:num w:numId="4" w16cid:durableId="344327409">
    <w:abstractNumId w:val="7"/>
  </w:num>
  <w:num w:numId="5" w16cid:durableId="753429740">
    <w:abstractNumId w:val="14"/>
  </w:num>
  <w:num w:numId="6" w16cid:durableId="2070423843">
    <w:abstractNumId w:val="12"/>
  </w:num>
  <w:num w:numId="7" w16cid:durableId="1291327206">
    <w:abstractNumId w:val="4"/>
  </w:num>
  <w:num w:numId="8" w16cid:durableId="2042390885">
    <w:abstractNumId w:val="3"/>
  </w:num>
  <w:num w:numId="9" w16cid:durableId="1033070324">
    <w:abstractNumId w:val="11"/>
  </w:num>
  <w:num w:numId="10" w16cid:durableId="182676117">
    <w:abstractNumId w:val="1"/>
  </w:num>
  <w:num w:numId="11" w16cid:durableId="973176481">
    <w:abstractNumId w:val="6"/>
  </w:num>
  <w:num w:numId="12" w16cid:durableId="301351195">
    <w:abstractNumId w:val="15"/>
  </w:num>
  <w:num w:numId="13" w16cid:durableId="1296641815">
    <w:abstractNumId w:val="9"/>
  </w:num>
  <w:num w:numId="14" w16cid:durableId="180583300">
    <w:abstractNumId w:val="10"/>
  </w:num>
  <w:num w:numId="15" w16cid:durableId="318189315">
    <w:abstractNumId w:val="8"/>
  </w:num>
  <w:num w:numId="16" w16cid:durableId="1447845473">
    <w:abstractNumId w:val="16"/>
  </w:num>
  <w:num w:numId="17" w16cid:durableId="5824224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B60"/>
    <w:rsid w:val="00053DD5"/>
    <w:rsid w:val="0007302F"/>
    <w:rsid w:val="00075852"/>
    <w:rsid w:val="001D0C19"/>
    <w:rsid w:val="001D2D74"/>
    <w:rsid w:val="00271703"/>
    <w:rsid w:val="00292784"/>
    <w:rsid w:val="002A5FCD"/>
    <w:rsid w:val="002D1338"/>
    <w:rsid w:val="00356BA6"/>
    <w:rsid w:val="0037628F"/>
    <w:rsid w:val="00377BA6"/>
    <w:rsid w:val="00405801"/>
    <w:rsid w:val="004341A7"/>
    <w:rsid w:val="00457669"/>
    <w:rsid w:val="00465D5D"/>
    <w:rsid w:val="00474146"/>
    <w:rsid w:val="004F3AF6"/>
    <w:rsid w:val="00531AA0"/>
    <w:rsid w:val="0056416E"/>
    <w:rsid w:val="00684EA0"/>
    <w:rsid w:val="0068675F"/>
    <w:rsid w:val="006B7936"/>
    <w:rsid w:val="006D5734"/>
    <w:rsid w:val="00703565"/>
    <w:rsid w:val="00707B07"/>
    <w:rsid w:val="00746F87"/>
    <w:rsid w:val="008017F4"/>
    <w:rsid w:val="008275D3"/>
    <w:rsid w:val="00853E57"/>
    <w:rsid w:val="00892A52"/>
    <w:rsid w:val="008D2147"/>
    <w:rsid w:val="008F727F"/>
    <w:rsid w:val="00907695"/>
    <w:rsid w:val="0097402B"/>
    <w:rsid w:val="009D7E76"/>
    <w:rsid w:val="00A24092"/>
    <w:rsid w:val="00A36CEF"/>
    <w:rsid w:val="00A727B4"/>
    <w:rsid w:val="00AE2EA6"/>
    <w:rsid w:val="00B03510"/>
    <w:rsid w:val="00B84168"/>
    <w:rsid w:val="00B86332"/>
    <w:rsid w:val="00BA7636"/>
    <w:rsid w:val="00BC04CA"/>
    <w:rsid w:val="00C27ED2"/>
    <w:rsid w:val="00C3404F"/>
    <w:rsid w:val="00C6156D"/>
    <w:rsid w:val="00C76656"/>
    <w:rsid w:val="00CA3B60"/>
    <w:rsid w:val="00CF7BEC"/>
    <w:rsid w:val="00D07B15"/>
    <w:rsid w:val="00D25931"/>
    <w:rsid w:val="00D97E77"/>
    <w:rsid w:val="00E059F2"/>
    <w:rsid w:val="00E41CCD"/>
    <w:rsid w:val="00E42F85"/>
    <w:rsid w:val="00EA61B5"/>
    <w:rsid w:val="00EC5718"/>
    <w:rsid w:val="00EF6F0B"/>
    <w:rsid w:val="00EF7F4C"/>
    <w:rsid w:val="00F3084A"/>
    <w:rsid w:val="00F66DE1"/>
    <w:rsid w:val="00F96874"/>
    <w:rsid w:val="00FF2D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1D8CF1"/>
  <w14:defaultImageDpi w14:val="32767"/>
  <w15:chartTrackingRefBased/>
  <w15:docId w15:val="{722F3FBA-6BE4-4D59-9D67-5AD0D67FA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6E"/>
    <w:pPr>
      <w:jc w:val="both"/>
    </w:pPr>
  </w:style>
  <w:style w:type="paragraph" w:styleId="Ttulo1">
    <w:name w:val="heading 1"/>
    <w:basedOn w:val="Normal"/>
    <w:next w:val="Normal"/>
    <w:link w:val="Ttulo1Car"/>
    <w:uiPriority w:val="9"/>
    <w:qFormat/>
    <w:rsid w:val="0056416E"/>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56416E"/>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autoRedefine/>
    <w:uiPriority w:val="9"/>
    <w:unhideWhenUsed/>
    <w:qFormat/>
    <w:rsid w:val="00292784"/>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semiHidden/>
    <w:unhideWhenUsed/>
    <w:qFormat/>
    <w:rsid w:val="00CA3B6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CA3B60"/>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CA3B60"/>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CA3B60"/>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CA3B60"/>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CA3B60"/>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6E"/>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56416E"/>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292784"/>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semiHidden/>
    <w:rsid w:val="00CA3B60"/>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CA3B60"/>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CA3B60"/>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CA3B60"/>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CA3B60"/>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CA3B60"/>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CA3B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3B6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3B60"/>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CA3B60"/>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CA3B60"/>
    <w:pPr>
      <w:spacing w:before="160"/>
      <w:jc w:val="center"/>
    </w:pPr>
    <w:rPr>
      <w:i/>
      <w:iCs/>
      <w:color w:val="404040" w:themeColor="text1" w:themeTint="BF"/>
    </w:rPr>
  </w:style>
  <w:style w:type="character" w:customStyle="1" w:styleId="CitaCar">
    <w:name w:val="Cita Car"/>
    <w:basedOn w:val="Fuentedeprrafopredeter"/>
    <w:link w:val="Cita"/>
    <w:uiPriority w:val="29"/>
    <w:rsid w:val="00CA3B60"/>
    <w:rPr>
      <w:i/>
      <w:iCs/>
      <w:color w:val="404040" w:themeColor="text1" w:themeTint="BF"/>
    </w:rPr>
  </w:style>
  <w:style w:type="paragraph" w:styleId="Prrafodelista">
    <w:name w:val="List Paragraph"/>
    <w:basedOn w:val="Normal"/>
    <w:uiPriority w:val="34"/>
    <w:qFormat/>
    <w:rsid w:val="00CA3B60"/>
    <w:pPr>
      <w:ind w:left="720"/>
      <w:contextualSpacing/>
    </w:pPr>
  </w:style>
  <w:style w:type="character" w:styleId="nfasisintenso">
    <w:name w:val="Intense Emphasis"/>
    <w:basedOn w:val="Fuentedeprrafopredeter"/>
    <w:uiPriority w:val="21"/>
    <w:qFormat/>
    <w:rsid w:val="00CA3B60"/>
    <w:rPr>
      <w:i/>
      <w:iCs/>
      <w:color w:val="2F5496" w:themeColor="accent1" w:themeShade="BF"/>
    </w:rPr>
  </w:style>
  <w:style w:type="paragraph" w:styleId="Citadestacada">
    <w:name w:val="Intense Quote"/>
    <w:basedOn w:val="Normal"/>
    <w:next w:val="Normal"/>
    <w:link w:val="CitadestacadaCar"/>
    <w:uiPriority w:val="30"/>
    <w:qFormat/>
    <w:rsid w:val="00CA3B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A3B60"/>
    <w:rPr>
      <w:i/>
      <w:iCs/>
      <w:color w:val="2F5496" w:themeColor="accent1" w:themeShade="BF"/>
    </w:rPr>
  </w:style>
  <w:style w:type="character" w:styleId="Referenciaintensa">
    <w:name w:val="Intense Reference"/>
    <w:basedOn w:val="Fuentedeprrafopredeter"/>
    <w:uiPriority w:val="32"/>
    <w:qFormat/>
    <w:rsid w:val="00CA3B60"/>
    <w:rPr>
      <w:b/>
      <w:bCs/>
      <w:smallCaps/>
      <w:color w:val="2F5496" w:themeColor="accent1" w:themeShade="BF"/>
      <w:spacing w:val="5"/>
    </w:rPr>
  </w:style>
  <w:style w:type="paragraph" w:styleId="TDC2">
    <w:name w:val="toc 2"/>
    <w:basedOn w:val="Normal"/>
    <w:next w:val="Normal"/>
    <w:autoRedefine/>
    <w:uiPriority w:val="39"/>
    <w:unhideWhenUsed/>
    <w:rsid w:val="00405801"/>
    <w:pPr>
      <w:spacing w:after="100"/>
      <w:ind w:left="280"/>
    </w:pPr>
  </w:style>
  <w:style w:type="character" w:styleId="Hipervnculo">
    <w:name w:val="Hyperlink"/>
    <w:basedOn w:val="Fuentedeprrafopredeter"/>
    <w:uiPriority w:val="99"/>
    <w:unhideWhenUsed/>
    <w:rsid w:val="00405801"/>
    <w:rPr>
      <w:color w:val="0563C1" w:themeColor="hyperlink"/>
      <w:u w:val="single"/>
    </w:rPr>
  </w:style>
  <w:style w:type="paragraph" w:styleId="Encabezado">
    <w:name w:val="header"/>
    <w:basedOn w:val="Normal"/>
    <w:link w:val="EncabezadoCar"/>
    <w:uiPriority w:val="99"/>
    <w:unhideWhenUsed/>
    <w:rsid w:val="00B8416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84168"/>
  </w:style>
  <w:style w:type="paragraph" w:styleId="Piedepgina">
    <w:name w:val="footer"/>
    <w:basedOn w:val="Normal"/>
    <w:link w:val="PiedepginaCar"/>
    <w:uiPriority w:val="99"/>
    <w:unhideWhenUsed/>
    <w:rsid w:val="00B8416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841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68F6A8-B576-43C5-BE5A-0C2D55B0B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4</Pages>
  <Words>1022</Words>
  <Characters>5627</Characters>
  <Application>Microsoft Office Word</Application>
  <DocSecurity>0</DocSecurity>
  <Lines>46</Lines>
  <Paragraphs>13</Paragraphs>
  <ScaleCrop>false</ScaleCrop>
  <HeadingPairs>
    <vt:vector size="4" baseType="variant">
      <vt:variant>
        <vt:lpstr>Título</vt:lpstr>
      </vt:variant>
      <vt:variant>
        <vt:i4>1</vt:i4>
      </vt:variant>
      <vt:variant>
        <vt:lpstr>Títulos</vt:lpstr>
      </vt:variant>
      <vt:variant>
        <vt:i4>7</vt:i4>
      </vt:variant>
    </vt:vector>
  </HeadingPairs>
  <TitlesOfParts>
    <vt:vector size="8" baseType="lpstr">
      <vt:lpstr/>
      <vt:lpstr>    Objeto y Ámbito de Aplicación</vt:lpstr>
      <vt:lpstr>    Capacidad de Obrar y Representación</vt:lpstr>
      <vt:lpstr>    Identificación y Firma Electrónica</vt:lpstr>
      <vt:lpstr>    La Relación Electrónica con la Administración</vt:lpstr>
      <vt:lpstr>    Documentos, Copias y Expedientes</vt:lpstr>
      <vt:lpstr>    Plazos y Notificaciones</vt:lpstr>
      <vt:lpstr>    Revisión de Actos y Recursos</vt:lpstr>
    </vt:vector>
  </TitlesOfParts>
  <Company/>
  <LinksUpToDate>false</LinksUpToDate>
  <CharactersWithSpaces>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22</cp:revision>
  <cp:lastPrinted>2026-02-09T18:48:00Z</cp:lastPrinted>
  <dcterms:created xsi:type="dcterms:W3CDTF">2026-02-09T16:53:00Z</dcterms:created>
  <dcterms:modified xsi:type="dcterms:W3CDTF">2026-02-09T19:09:00Z</dcterms:modified>
</cp:coreProperties>
</file>