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7624" w14:textId="0A27448E" w:rsidR="00F3084A" w:rsidRDefault="00C9462C" w:rsidP="00C9462C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LEY 40 2015</w:t>
      </w:r>
    </w:p>
    <w:p w14:paraId="287370A9" w14:textId="77777777" w:rsidR="009C5FCC" w:rsidRDefault="009C5FCC" w:rsidP="00C9462C">
      <w:pPr>
        <w:jc w:val="center"/>
        <w:rPr>
          <w:rFonts w:ascii="Arial Black" w:hAnsi="Arial Black"/>
          <w:sz w:val="36"/>
          <w:szCs w:val="28"/>
        </w:rPr>
      </w:pPr>
    </w:p>
    <w:p w14:paraId="667A796E" w14:textId="4EA45924" w:rsidR="002C2FC9" w:rsidRDefault="009C5FC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1658743" w:history="1">
        <w:r w:rsidR="002C2FC9" w:rsidRPr="00D2443C">
          <w:rPr>
            <w:rStyle w:val="Hipervnculo"/>
            <w:noProof/>
            <w:highlight w:val="yellow"/>
          </w:rPr>
          <w:t>Objeto y Principios Generales</w:t>
        </w:r>
        <w:r w:rsidR="002C2FC9">
          <w:rPr>
            <w:noProof/>
            <w:webHidden/>
          </w:rPr>
          <w:tab/>
        </w:r>
        <w:r w:rsidR="002C2FC9">
          <w:rPr>
            <w:noProof/>
            <w:webHidden/>
          </w:rPr>
          <w:fldChar w:fldCharType="begin"/>
        </w:r>
        <w:r w:rsidR="002C2FC9">
          <w:rPr>
            <w:noProof/>
            <w:webHidden/>
          </w:rPr>
          <w:instrText xml:space="preserve"> PAGEREF _Toc221658743 \h </w:instrText>
        </w:r>
        <w:r w:rsidR="002C2FC9">
          <w:rPr>
            <w:noProof/>
            <w:webHidden/>
          </w:rPr>
        </w:r>
        <w:r w:rsidR="002C2FC9">
          <w:rPr>
            <w:noProof/>
            <w:webHidden/>
          </w:rPr>
          <w:fldChar w:fldCharType="separate"/>
        </w:r>
        <w:r w:rsidR="002C2FC9">
          <w:rPr>
            <w:noProof/>
            <w:webHidden/>
          </w:rPr>
          <w:t>1</w:t>
        </w:r>
        <w:r w:rsidR="002C2FC9">
          <w:rPr>
            <w:noProof/>
            <w:webHidden/>
          </w:rPr>
          <w:fldChar w:fldCharType="end"/>
        </w:r>
      </w:hyperlink>
    </w:p>
    <w:p w14:paraId="03915212" w14:textId="1FC6A6F0" w:rsidR="002C2FC9" w:rsidRDefault="002C2FC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4" w:history="1">
        <w:r w:rsidRPr="00D2443C">
          <w:rPr>
            <w:rStyle w:val="Hipervnculo"/>
            <w:noProof/>
            <w:highlight w:val="yellow"/>
          </w:rPr>
          <w:t>Funcionamiento Electrónico del Sector Público (Capítulo 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063F99" w14:textId="2A99434D" w:rsidR="002C2FC9" w:rsidRDefault="002C2FC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5" w:history="1">
        <w:r w:rsidRPr="00D2443C">
          <w:rPr>
            <w:rStyle w:val="Hipervnculo"/>
            <w:noProof/>
          </w:rPr>
          <w:t>Organización de la Administración General del Estado (AGE)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C2C039" w14:textId="26D73720" w:rsidR="002C2FC9" w:rsidRDefault="002C2FC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6" w:history="1">
        <w:r w:rsidRPr="00D2443C">
          <w:rPr>
            <w:rStyle w:val="Hipervnculo"/>
            <w:noProof/>
            <w:highlight w:val="yellow"/>
          </w:rPr>
          <w:t>Sector Público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553D6B" w14:textId="77F7454A" w:rsidR="002C2FC9" w:rsidRDefault="002C2FC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7" w:history="1">
        <w:r w:rsidRPr="00D2443C">
          <w:rPr>
            <w:rStyle w:val="Hipervnculo"/>
            <w:noProof/>
          </w:rPr>
          <w:t>Relaciones Interadministrativas y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6484FF" w14:textId="7A2235AB" w:rsidR="00C9462C" w:rsidRDefault="009C5FCC" w:rsidP="00C9462C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0A79ED59" w14:textId="2624BD01" w:rsidR="00C9462C" w:rsidRDefault="00C9462C" w:rsidP="00C9462C">
      <w:pPr>
        <w:pStyle w:val="Ttulo2"/>
      </w:pPr>
      <w:bookmarkStart w:id="0" w:name="_Toc221658743"/>
      <w:r w:rsidRPr="0017465A">
        <w:rPr>
          <w:highlight w:val="yellow"/>
        </w:rPr>
        <w:t>Objeto y Principios Generales</w:t>
      </w:r>
      <w:bookmarkEnd w:id="0"/>
    </w:p>
    <w:p w14:paraId="239FC56F" w14:textId="77777777" w:rsidR="00C9462C" w:rsidRDefault="00C9462C" w:rsidP="00C9462C">
      <w:r>
        <w:t>La Ley 40/2015 tiene como objetivo regular las bases del régimen jurídico de las Administraciones Públicas, los principios de responsabilidad patrimonial y la potestad sancionadora, además de la organización de la Administración General del Estado (AGE).</w:t>
      </w:r>
    </w:p>
    <w:p w14:paraId="4365EBBF" w14:textId="741E92FC" w:rsidR="00C9462C" w:rsidRDefault="00C9462C" w:rsidP="00C9462C">
      <w:pPr>
        <w:pStyle w:val="Prrafodelista"/>
        <w:numPr>
          <w:ilvl w:val="0"/>
          <w:numId w:val="1"/>
        </w:numPr>
      </w:pPr>
      <w:r w:rsidRPr="004831C1">
        <w:rPr>
          <w:b/>
          <w:bCs/>
        </w:rPr>
        <w:t>Principios de actuación</w:t>
      </w:r>
      <w:r>
        <w:t>: Destacan la eficacia, jerarquía, descentralización, coordinación y sometimiento pleno a la Ley.</w:t>
      </w:r>
    </w:p>
    <w:p w14:paraId="6D2A1B5E" w14:textId="78DD5D4B" w:rsidR="00C9462C" w:rsidRDefault="00C9462C" w:rsidP="00C9462C">
      <w:pPr>
        <w:pStyle w:val="Prrafodelista"/>
        <w:numPr>
          <w:ilvl w:val="0"/>
          <w:numId w:val="1"/>
        </w:numPr>
      </w:pPr>
      <w:r w:rsidRPr="004831C1">
        <w:rPr>
          <w:b/>
          <w:bCs/>
        </w:rPr>
        <w:t>Relación electrónica obligatoria</w:t>
      </w:r>
      <w:r>
        <w:t>: Las Administraciones deben relacionarse entre sí y con sus órganos a través de medios electrónicos que aseguren la interoperabilidad y seguridad de los datos.</w:t>
      </w:r>
    </w:p>
    <w:p w14:paraId="1BA7BE67" w14:textId="2B5D6CDF" w:rsidR="00143193" w:rsidRPr="0017465A" w:rsidRDefault="00DD5F35" w:rsidP="00C9462C">
      <w:pPr>
        <w:pStyle w:val="Prrafodelista"/>
        <w:numPr>
          <w:ilvl w:val="0"/>
          <w:numId w:val="1"/>
        </w:numPr>
        <w:rPr>
          <w:highlight w:val="yellow"/>
        </w:rPr>
      </w:pPr>
      <w:r w:rsidRPr="004831C1">
        <w:rPr>
          <w:b/>
          <w:bCs/>
          <w:highlight w:val="yellow"/>
        </w:rPr>
        <w:t>Vigencia</w:t>
      </w:r>
      <w:r w:rsidRPr="0017465A">
        <w:rPr>
          <w:highlight w:val="yellow"/>
        </w:rPr>
        <w:t>: La vigencia de los certificados electrónicos cualificados (DNIe) no podrá ser superior a cinco años.</w:t>
      </w:r>
    </w:p>
    <w:p w14:paraId="722FBC9B" w14:textId="591898C6" w:rsidR="00DD5F35" w:rsidRPr="0017465A" w:rsidRDefault="00DD5F35" w:rsidP="00C9462C">
      <w:pPr>
        <w:pStyle w:val="Prrafodelista"/>
        <w:numPr>
          <w:ilvl w:val="0"/>
          <w:numId w:val="1"/>
        </w:numPr>
        <w:rPr>
          <w:highlight w:val="yellow"/>
        </w:rPr>
      </w:pPr>
      <w:r w:rsidRPr="004831C1">
        <w:rPr>
          <w:b/>
          <w:bCs/>
          <w:highlight w:val="yellow"/>
        </w:rPr>
        <w:t>Red SARA</w:t>
      </w:r>
      <w:r w:rsidRPr="0017465A">
        <w:rPr>
          <w:highlight w:val="yellow"/>
        </w:rPr>
        <w:t>: Red que interconecta los sistemas de información de las Administraciones Públicas españolas y permite el intercambio de datos.</w:t>
      </w:r>
    </w:p>
    <w:p w14:paraId="2BC51249" w14:textId="77777777" w:rsidR="00C9462C" w:rsidRDefault="00C9462C" w:rsidP="00C9462C"/>
    <w:p w14:paraId="76C18AFF" w14:textId="6339967D" w:rsidR="00C9462C" w:rsidRDefault="00C9462C" w:rsidP="00C9462C">
      <w:pPr>
        <w:pStyle w:val="Ttulo2"/>
      </w:pPr>
      <w:bookmarkStart w:id="1" w:name="_Toc221658744"/>
      <w:r w:rsidRPr="00C648E2">
        <w:rPr>
          <w:highlight w:val="yellow"/>
        </w:rPr>
        <w:t>Funcionamiento Electrónico del Sector Público (Capítulo V)</w:t>
      </w:r>
      <w:bookmarkEnd w:id="1"/>
    </w:p>
    <w:p w14:paraId="69D547F4" w14:textId="66D3ADF4" w:rsidR="00C9462C" w:rsidRPr="00C648E2" w:rsidRDefault="00C9462C" w:rsidP="00C9462C">
      <w:pPr>
        <w:pStyle w:val="Prrafodelista"/>
        <w:numPr>
          <w:ilvl w:val="0"/>
          <w:numId w:val="2"/>
        </w:numPr>
        <w:rPr>
          <w:highlight w:val="yellow"/>
        </w:rPr>
      </w:pPr>
      <w:r w:rsidRPr="004831C1">
        <w:rPr>
          <w:b/>
          <w:bCs/>
          <w:highlight w:val="yellow"/>
        </w:rPr>
        <w:t>Sede Electrónica (Art. 38):</w:t>
      </w:r>
      <w:r w:rsidRPr="00C648E2">
        <w:rPr>
          <w:highlight w:val="yellow"/>
        </w:rPr>
        <w:t xml:space="preserve"> Es la dirección electrónica disponible para los ciudadanos a través de redes de telecomunicaciones cuya titularidad corresponde a una Administración. El titular es responsable de la integridad, veracidad y actualización de la información.</w:t>
      </w:r>
      <w:r w:rsidR="009A45D8" w:rsidRPr="00C648E2">
        <w:rPr>
          <w:highlight w:val="yellow"/>
        </w:rPr>
        <w:t xml:space="preserve"> La gestión puede delegarse, pero la responsabilidad del titular es indelegable.</w:t>
      </w:r>
    </w:p>
    <w:p w14:paraId="3726C1CE" w14:textId="54CFEC5D" w:rsidR="00C9462C" w:rsidRDefault="00C9462C" w:rsidP="00C9462C">
      <w:pPr>
        <w:pStyle w:val="Prrafodelista"/>
        <w:numPr>
          <w:ilvl w:val="0"/>
          <w:numId w:val="2"/>
        </w:numPr>
      </w:pPr>
      <w:r w:rsidRPr="004831C1">
        <w:rPr>
          <w:b/>
          <w:bCs/>
        </w:rPr>
        <w:lastRenderedPageBreak/>
        <w:t>Sistemas de Identificación (Art. 40):</w:t>
      </w:r>
      <w:r>
        <w:t xml:space="preserve"> Las Administraciones pueden identificarse mediante sellos electrónicos basados en certificados cualificados.</w:t>
      </w:r>
      <w:r w:rsidR="000B2F3F" w:rsidRPr="000B2F3F">
        <w:t xml:space="preserve"> Además de los sellos, las Administraciones pueden identificarse mediante la sede electrónica (el nombre de dominio).</w:t>
      </w:r>
    </w:p>
    <w:p w14:paraId="1B0DAEFB" w14:textId="5EA39EA4" w:rsidR="00C9462C" w:rsidRPr="00C648E2" w:rsidRDefault="00C9462C" w:rsidP="00C9462C">
      <w:pPr>
        <w:pStyle w:val="Prrafodelista"/>
        <w:numPr>
          <w:ilvl w:val="0"/>
          <w:numId w:val="2"/>
        </w:numPr>
        <w:rPr>
          <w:highlight w:val="yellow"/>
        </w:rPr>
      </w:pPr>
      <w:r w:rsidRPr="004831C1">
        <w:rPr>
          <w:b/>
          <w:bCs/>
          <w:highlight w:val="yellow"/>
        </w:rPr>
        <w:t>Actuación Administrativa Automatizada (Art. 41):</w:t>
      </w:r>
      <w:r w:rsidRPr="00C648E2">
        <w:rPr>
          <w:highlight w:val="yellow"/>
        </w:rPr>
        <w:t xml:space="preserve"> Se define como cualquier acto realizado íntegramente por medios electrónicos sin intervención directa de un empleado público. Requiere la definición previa de los órganos competentes para la programación y control de calidad del código fuente.</w:t>
      </w:r>
      <w:r w:rsidR="009A45D8" w:rsidRPr="00C648E2">
        <w:rPr>
          <w:highlight w:val="yellow"/>
        </w:rPr>
        <w:t xml:space="preserve"> Para la identificación en estos actos se usan sellos electrónicos o sistemas de código seguro de verificación (CSV).</w:t>
      </w:r>
    </w:p>
    <w:p w14:paraId="38EB82C1" w14:textId="77777777" w:rsidR="00C9462C" w:rsidRPr="00C648E2" w:rsidRDefault="00C9462C" w:rsidP="00C9462C">
      <w:pPr>
        <w:pStyle w:val="Prrafodelista"/>
        <w:numPr>
          <w:ilvl w:val="0"/>
          <w:numId w:val="2"/>
        </w:numPr>
        <w:rPr>
          <w:highlight w:val="yellow"/>
        </w:rPr>
      </w:pPr>
      <w:r>
        <w:t xml:space="preserve"> </w:t>
      </w:r>
      <w:r w:rsidRPr="004831C1">
        <w:rPr>
          <w:b/>
          <w:bCs/>
          <w:highlight w:val="yellow"/>
        </w:rPr>
        <w:t>Firma del personal (Art. 43):</w:t>
      </w:r>
      <w:r w:rsidRPr="00C648E2">
        <w:rPr>
          <w:highlight w:val="yellow"/>
        </w:rPr>
        <w:t xml:space="preserve"> La actuación de los empleados públicos en el entorno digital se realizará mediante firma electrónica, que puede identificar de forma conjunta al titular y a la Administración donde presta servicios.</w:t>
      </w:r>
    </w:p>
    <w:p w14:paraId="145B11BB" w14:textId="00B84D88" w:rsidR="000B2F3F" w:rsidRDefault="00C9462C" w:rsidP="00B21323">
      <w:pPr>
        <w:pStyle w:val="Prrafodelista"/>
        <w:numPr>
          <w:ilvl w:val="0"/>
          <w:numId w:val="2"/>
        </w:numPr>
      </w:pPr>
      <w:r w:rsidRPr="004831C1">
        <w:rPr>
          <w:b/>
          <w:bCs/>
        </w:rPr>
        <w:t>Archivo Electrónico (Art. 46):</w:t>
      </w:r>
      <w:r>
        <w:t xml:space="preserve"> Todos los documentos utilizados en actuaciones administrativas deben almacenarse por medios electrónicos, garantizando su integridad, autenticidad y conservación a largo plazo conforme al Esquema Nacional de Seguridad (ENS).</w:t>
      </w:r>
      <w:r w:rsidR="009A45D8">
        <w:t xml:space="preserve"> E</w:t>
      </w:r>
      <w:r w:rsidR="009A45D8" w:rsidRPr="009A45D8">
        <w:t>l almacenamiento debe hacerse en formatos que garanticen la interoperabilidad.</w:t>
      </w:r>
    </w:p>
    <w:p w14:paraId="7164EE93" w14:textId="16285BD1" w:rsidR="004831C1" w:rsidRPr="004831C1" w:rsidRDefault="004831C1" w:rsidP="00B21323">
      <w:pPr>
        <w:pStyle w:val="Prrafodelista"/>
        <w:numPr>
          <w:ilvl w:val="0"/>
          <w:numId w:val="2"/>
        </w:numPr>
        <w:rPr>
          <w:highlight w:val="yellow"/>
        </w:rPr>
      </w:pPr>
      <w:r w:rsidRPr="004831C1">
        <w:rPr>
          <w:b/>
          <w:bCs/>
          <w:highlight w:val="yellow"/>
        </w:rPr>
        <w:t>Conservación de papel</w:t>
      </w:r>
      <w:r w:rsidRPr="004831C1">
        <w:rPr>
          <w:highlight w:val="yellow"/>
        </w:rPr>
        <w:t>: Los documentos en papel digitalizados que no se devuelvan al interesado se conservarán al menos seis meses.</w:t>
      </w:r>
    </w:p>
    <w:p w14:paraId="3B36FD09" w14:textId="77777777" w:rsidR="00C9462C" w:rsidRDefault="00C9462C" w:rsidP="00C9462C"/>
    <w:p w14:paraId="3DB84AC5" w14:textId="74D874F3" w:rsidR="00C9462C" w:rsidRDefault="00C9462C" w:rsidP="00C9462C">
      <w:pPr>
        <w:pStyle w:val="Ttulo2"/>
      </w:pPr>
      <w:bookmarkStart w:id="2" w:name="_Toc221658745"/>
      <w:r w:rsidRPr="00C9462C">
        <w:t>Organización de la Administración General del Estado (AGE)</w:t>
      </w:r>
      <w:bookmarkEnd w:id="2"/>
    </w:p>
    <w:p w14:paraId="6626757E" w14:textId="77777777" w:rsidR="00EA14D8" w:rsidRDefault="00EA14D8" w:rsidP="00EA14D8">
      <w:pPr>
        <w:pStyle w:val="Prrafodelista"/>
        <w:numPr>
          <w:ilvl w:val="0"/>
          <w:numId w:val="3"/>
        </w:numPr>
      </w:pPr>
      <w:r w:rsidRPr="004831C1">
        <w:rPr>
          <w:b/>
          <w:bCs/>
        </w:rPr>
        <w:t>Estructura (Art. 55):</w:t>
      </w:r>
      <w:r>
        <w:t xml:space="preserve"> Se divide en Organización Central, Organización Territorial y AGE en el Exterior.</w:t>
      </w:r>
    </w:p>
    <w:p w14:paraId="3692A253" w14:textId="2AD3A0FF" w:rsidR="00E9273C" w:rsidRDefault="00E9273C" w:rsidP="00EA14D8">
      <w:pPr>
        <w:pStyle w:val="Prrafodelista"/>
        <w:numPr>
          <w:ilvl w:val="0"/>
          <w:numId w:val="3"/>
        </w:numPr>
      </w:pPr>
      <w:r w:rsidRPr="00E9273C">
        <w:rPr>
          <w:b/>
          <w:bCs/>
        </w:rPr>
        <w:t>Artículo 55 bis</w:t>
      </w:r>
      <w:r w:rsidRPr="00E9273C">
        <w:t>. Establece que los nombramientos de titulares de órganos superiores y directivos deben seguir el principio de presencia equilibrada, donde ningún sexo supere el 60% ni baje del 40%.</w:t>
      </w:r>
    </w:p>
    <w:p w14:paraId="1CA054FA" w14:textId="77777777" w:rsidR="00EA14D8" w:rsidRPr="0017465A" w:rsidRDefault="00EA14D8" w:rsidP="00EA14D8">
      <w:pPr>
        <w:pStyle w:val="Prrafodelista"/>
        <w:numPr>
          <w:ilvl w:val="0"/>
          <w:numId w:val="3"/>
        </w:numPr>
        <w:rPr>
          <w:highlight w:val="yellow"/>
        </w:rPr>
      </w:pPr>
      <w:r w:rsidRPr="00201F5F">
        <w:rPr>
          <w:b/>
          <w:bCs/>
          <w:highlight w:val="yellow"/>
        </w:rPr>
        <w:t>Órganos Superiores</w:t>
      </w:r>
      <w:r w:rsidRPr="0017465A">
        <w:rPr>
          <w:highlight w:val="yellow"/>
        </w:rPr>
        <w:t>: Ministros y Secretarios de Estado.</w:t>
      </w:r>
    </w:p>
    <w:p w14:paraId="57CB3FAD" w14:textId="521EEFDB" w:rsidR="00EA14D8" w:rsidRDefault="00EA14D8" w:rsidP="00EA14D8">
      <w:pPr>
        <w:pStyle w:val="Prrafodelista"/>
        <w:numPr>
          <w:ilvl w:val="0"/>
          <w:numId w:val="3"/>
        </w:numPr>
        <w:rPr>
          <w:highlight w:val="yellow"/>
        </w:rPr>
      </w:pPr>
      <w:r w:rsidRPr="00201F5F">
        <w:rPr>
          <w:b/>
          <w:bCs/>
          <w:highlight w:val="yellow"/>
        </w:rPr>
        <w:t>Órganos Directivos</w:t>
      </w:r>
      <w:r w:rsidRPr="0017465A">
        <w:rPr>
          <w:highlight w:val="yellow"/>
        </w:rPr>
        <w:t xml:space="preserve">: Subsecretarios, Secretarios Generales, Secretarios Generales Técnicos, Directores Generales y </w:t>
      </w:r>
      <w:r w:rsidRPr="0017465A">
        <w:rPr>
          <w:b/>
          <w:bCs/>
          <w:highlight w:val="yellow"/>
          <w:u w:val="single"/>
        </w:rPr>
        <w:t>Subdirectores Generales</w:t>
      </w:r>
      <w:r w:rsidR="000B2F3F" w:rsidRPr="0017465A">
        <w:rPr>
          <w:b/>
          <w:bCs/>
          <w:highlight w:val="yellow"/>
          <w:u w:val="single"/>
        </w:rPr>
        <w:t xml:space="preserve"> (En la escala de órganos directivos, son los únicos que no tienen la consideración de alto cargo</w:t>
      </w:r>
      <w:r w:rsidR="000B2F3F" w:rsidRPr="0017465A">
        <w:rPr>
          <w:highlight w:val="yellow"/>
        </w:rPr>
        <w:t>.)</w:t>
      </w:r>
      <w:r w:rsidRPr="0017465A">
        <w:rPr>
          <w:highlight w:val="yellow"/>
        </w:rPr>
        <w:t>.</w:t>
      </w:r>
    </w:p>
    <w:p w14:paraId="04BB1AA2" w14:textId="31E00485" w:rsidR="00B01A8A" w:rsidRPr="0017465A" w:rsidRDefault="00367591" w:rsidP="00EA14D8">
      <w:pPr>
        <w:pStyle w:val="Prrafodelista"/>
        <w:numPr>
          <w:ilvl w:val="0"/>
          <w:numId w:val="3"/>
        </w:numPr>
        <w:rPr>
          <w:highlight w:val="yellow"/>
        </w:rPr>
      </w:pPr>
      <w:r w:rsidRPr="00367591">
        <w:rPr>
          <w:b/>
          <w:bCs/>
        </w:rPr>
        <w:t>Nuevo Art. 55 bis:</w:t>
      </w:r>
      <w:r w:rsidRPr="00367591">
        <w:t xml:space="preserve"> Los nombramientos de órganos superiores y directivos deben cumplir el principio de presencia equilibrada (40/60). Si no se alcanza, debe explicarse en la memoria anual y proponer medidas.</w:t>
      </w:r>
    </w:p>
    <w:p w14:paraId="65A001E2" w14:textId="185D8BDC" w:rsidR="00C9462C" w:rsidRPr="00C648E2" w:rsidRDefault="00EA14D8" w:rsidP="00EA14D8">
      <w:pPr>
        <w:pStyle w:val="Prrafodelista"/>
        <w:numPr>
          <w:ilvl w:val="0"/>
          <w:numId w:val="3"/>
        </w:numPr>
        <w:rPr>
          <w:highlight w:val="yellow"/>
        </w:rPr>
      </w:pPr>
      <w:r w:rsidRPr="00201F5F">
        <w:rPr>
          <w:b/>
          <w:bCs/>
          <w:highlight w:val="yellow"/>
        </w:rPr>
        <w:t>Servicios Comunes (Art. 68):</w:t>
      </w:r>
      <w:r w:rsidRPr="00C648E2">
        <w:rPr>
          <w:highlight w:val="yellow"/>
        </w:rPr>
        <w:t xml:space="preserve"> Se encargan del asesoramiento, apoyo técnico y gestión directa de recursos humanos, sistemas de información, publicaciones y asistencia jurídica.</w:t>
      </w:r>
    </w:p>
    <w:p w14:paraId="38DD9DE9" w14:textId="77777777" w:rsidR="00EA14D8" w:rsidRDefault="00EA14D8" w:rsidP="00EA14D8"/>
    <w:p w14:paraId="39FF67E1" w14:textId="2FA8A207" w:rsidR="00EA14D8" w:rsidRDefault="00EA14D8" w:rsidP="00EA14D8">
      <w:pPr>
        <w:pStyle w:val="Ttulo2"/>
      </w:pPr>
      <w:bookmarkStart w:id="3" w:name="_Toc221658746"/>
      <w:r w:rsidRPr="002307DD">
        <w:rPr>
          <w:highlight w:val="yellow"/>
        </w:rPr>
        <w:t>Sector Público Institucional</w:t>
      </w:r>
      <w:bookmarkEnd w:id="3"/>
    </w:p>
    <w:p w14:paraId="719F9736" w14:textId="77777777" w:rsidR="00EA14D8" w:rsidRDefault="00EA14D8" w:rsidP="00EA14D8">
      <w:r>
        <w:t>Se integra por organismos públicos (autónomos, entidades empresariales y agencias), autoridades independientes, sociedades mercantiles, consorcios y fundaciones.</w:t>
      </w:r>
    </w:p>
    <w:p w14:paraId="17077299" w14:textId="77777777" w:rsidR="00EA14D8" w:rsidRDefault="00EA14D8" w:rsidP="00EA14D8">
      <w:pPr>
        <w:pStyle w:val="Prrafodelista"/>
        <w:numPr>
          <w:ilvl w:val="0"/>
          <w:numId w:val="4"/>
        </w:numPr>
      </w:pPr>
      <w:r w:rsidRPr="00201F5F">
        <w:rPr>
          <w:b/>
          <w:bCs/>
        </w:rPr>
        <w:t>Inventario (Art. 82):</w:t>
      </w:r>
      <w:r>
        <w:t xml:space="preserve"> Es un registro público que contiene información actualizada sobre la naturaleza y financiación de todas las entidades del sector público.</w:t>
      </w:r>
    </w:p>
    <w:p w14:paraId="4E8567CB" w14:textId="281EB7F1" w:rsidR="00E9273C" w:rsidRDefault="00E9273C" w:rsidP="00EA14D8">
      <w:pPr>
        <w:pStyle w:val="Prrafodelista"/>
        <w:numPr>
          <w:ilvl w:val="0"/>
          <w:numId w:val="4"/>
        </w:numPr>
      </w:pPr>
      <w:r w:rsidRPr="00E9273C">
        <w:rPr>
          <w:b/>
          <w:bCs/>
        </w:rPr>
        <w:t>Artículo 84 bis</w:t>
      </w:r>
      <w:r w:rsidRPr="00E9273C">
        <w:t>. Obliga a que la alta dirección de las entidades del sector público institucional cumpla también con el principio de representación paritaria (40/60).</w:t>
      </w:r>
    </w:p>
    <w:p w14:paraId="473C2D8F" w14:textId="4F9B61E5" w:rsidR="00EA14D8" w:rsidRDefault="00EA14D8" w:rsidP="00EA14D8">
      <w:pPr>
        <w:pStyle w:val="Prrafodelista"/>
        <w:numPr>
          <w:ilvl w:val="0"/>
          <w:numId w:val="4"/>
        </w:numPr>
      </w:pPr>
      <w:r w:rsidRPr="00201F5F">
        <w:rPr>
          <w:b/>
          <w:bCs/>
        </w:rPr>
        <w:t>Supervisión Continua (Art. 85):</w:t>
      </w:r>
      <w:r>
        <w:t xml:space="preserve"> Todas las entidades están sujetas a una supervisión del Ministerio de Hacienda para verificar su sostenibilidad financiera y si se mantienen los motivos que justificaron su creación.</w:t>
      </w:r>
    </w:p>
    <w:p w14:paraId="1BCCA078" w14:textId="3CE574B4" w:rsidR="002307DD" w:rsidRPr="0017465A" w:rsidRDefault="002307DD" w:rsidP="00EA14D8">
      <w:pPr>
        <w:pStyle w:val="Prrafodelista"/>
        <w:numPr>
          <w:ilvl w:val="0"/>
          <w:numId w:val="4"/>
        </w:numPr>
        <w:rPr>
          <w:highlight w:val="yellow"/>
        </w:rPr>
      </w:pPr>
      <w:r w:rsidRPr="00201F5F">
        <w:rPr>
          <w:b/>
          <w:bCs/>
          <w:highlight w:val="yellow"/>
        </w:rPr>
        <w:t>DIR3</w:t>
      </w:r>
      <w:r w:rsidRPr="0017465A">
        <w:rPr>
          <w:highlight w:val="yellow"/>
        </w:rPr>
        <w:t>: Inventario unificado de unidades orgánicas y oficinas de registro de las AA.PP.</w:t>
      </w:r>
    </w:p>
    <w:p w14:paraId="653375BD" w14:textId="77777777" w:rsidR="00EA14D8" w:rsidRDefault="00EA14D8" w:rsidP="00EA14D8"/>
    <w:p w14:paraId="72972A5E" w14:textId="24304B30" w:rsidR="00EA14D8" w:rsidRDefault="00EA14D8" w:rsidP="00EA14D8">
      <w:pPr>
        <w:pStyle w:val="Ttulo2"/>
      </w:pPr>
      <w:bookmarkStart w:id="4" w:name="_Toc221658747"/>
      <w:r w:rsidRPr="00EA14D8">
        <w:t>Relaciones Interadministrativas y Seguridad</w:t>
      </w:r>
      <w:bookmarkEnd w:id="4"/>
    </w:p>
    <w:p w14:paraId="2B65FA2C" w14:textId="77777777" w:rsidR="00EA14D8" w:rsidRDefault="00EA14D8" w:rsidP="00EA14D8">
      <w:pPr>
        <w:pStyle w:val="Prrafodelista"/>
        <w:numPr>
          <w:ilvl w:val="0"/>
          <w:numId w:val="5"/>
        </w:numPr>
      </w:pPr>
      <w:r w:rsidRPr="00201F5F">
        <w:rPr>
          <w:b/>
          <w:bCs/>
        </w:rPr>
        <w:t>Principios (Art. 140):</w:t>
      </w:r>
      <w:r>
        <w:t xml:space="preserve"> Lealtad institucional, adecuación de competencias, colaboración, cooperación y coordinación.</w:t>
      </w:r>
    </w:p>
    <w:p w14:paraId="76F8E73D" w14:textId="77777777" w:rsidR="00EA14D8" w:rsidRPr="00201F5F" w:rsidRDefault="00EA14D8" w:rsidP="00EA14D8">
      <w:pPr>
        <w:pStyle w:val="Prrafodelista"/>
        <w:numPr>
          <w:ilvl w:val="0"/>
          <w:numId w:val="5"/>
        </w:numPr>
        <w:rPr>
          <w:b/>
          <w:bCs/>
        </w:rPr>
      </w:pPr>
      <w:r w:rsidRPr="00201F5F">
        <w:rPr>
          <w:b/>
          <w:bCs/>
        </w:rPr>
        <w:t>Esquemas Nacionales (Art. 156):</w:t>
      </w:r>
    </w:p>
    <w:p w14:paraId="1331604B" w14:textId="77777777" w:rsidR="00EA14D8" w:rsidRDefault="00EA14D8" w:rsidP="00EA14D8">
      <w:pPr>
        <w:pStyle w:val="Prrafodelista"/>
        <w:numPr>
          <w:ilvl w:val="1"/>
          <w:numId w:val="5"/>
        </w:numPr>
      </w:pPr>
      <w:r w:rsidRPr="00201F5F">
        <w:rPr>
          <w:b/>
          <w:bCs/>
        </w:rPr>
        <w:t>Esquema Nacional de Interoperabilidad (ENI):</w:t>
      </w:r>
      <w:r>
        <w:t xml:space="preserve"> Criterios para la toma de decisiones tecnológicas que garanticen que los sistemas puedan intercambiar datos.</w:t>
      </w:r>
    </w:p>
    <w:p w14:paraId="6C4F10E2" w14:textId="4E3CF289" w:rsidR="00EA14D8" w:rsidRPr="00EA14D8" w:rsidRDefault="00EA14D8" w:rsidP="00EA14D8">
      <w:pPr>
        <w:pStyle w:val="Prrafodelista"/>
        <w:numPr>
          <w:ilvl w:val="1"/>
          <w:numId w:val="5"/>
        </w:numPr>
      </w:pPr>
      <w:r w:rsidRPr="00201F5F">
        <w:rPr>
          <w:b/>
          <w:bCs/>
        </w:rPr>
        <w:t>Esquema Nacional de Seguridad (ENS):</w:t>
      </w:r>
      <w:r>
        <w:t xml:space="preserve"> Principios básicos y requisitos mínimos para garantizar la seguridad de la información tratada.</w:t>
      </w:r>
    </w:p>
    <w:sectPr w:rsidR="00EA14D8" w:rsidRPr="00EA14D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B063" w14:textId="77777777" w:rsidR="00D87649" w:rsidRDefault="00D87649" w:rsidP="00C648E2">
      <w:pPr>
        <w:spacing w:after="0" w:line="240" w:lineRule="auto"/>
      </w:pPr>
      <w:r>
        <w:separator/>
      </w:r>
    </w:p>
  </w:endnote>
  <w:endnote w:type="continuationSeparator" w:id="0">
    <w:p w14:paraId="1FFB09C1" w14:textId="77777777" w:rsidR="00D87649" w:rsidRDefault="00D87649" w:rsidP="00C6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5803582"/>
      <w:docPartObj>
        <w:docPartGallery w:val="Page Numbers (Bottom of Page)"/>
        <w:docPartUnique/>
      </w:docPartObj>
    </w:sdtPr>
    <w:sdtContent>
      <w:p w14:paraId="2ED12595" w14:textId="10412C09" w:rsidR="00C648E2" w:rsidRDefault="00C648E2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69B98CDC" w14:textId="77777777" w:rsidR="00C648E2" w:rsidRDefault="00C648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DA03" w14:textId="77777777" w:rsidR="00D87649" w:rsidRDefault="00D87649" w:rsidP="00C648E2">
      <w:pPr>
        <w:spacing w:after="0" w:line="240" w:lineRule="auto"/>
      </w:pPr>
      <w:r>
        <w:separator/>
      </w:r>
    </w:p>
  </w:footnote>
  <w:footnote w:type="continuationSeparator" w:id="0">
    <w:p w14:paraId="05CF0D25" w14:textId="77777777" w:rsidR="00D87649" w:rsidRDefault="00D87649" w:rsidP="00C64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755"/>
    <w:multiLevelType w:val="hybridMultilevel"/>
    <w:tmpl w:val="DB04A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E0FF0"/>
    <w:multiLevelType w:val="hybridMultilevel"/>
    <w:tmpl w:val="3880F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2529A"/>
    <w:multiLevelType w:val="hybridMultilevel"/>
    <w:tmpl w:val="5422F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564A7"/>
    <w:multiLevelType w:val="hybridMultilevel"/>
    <w:tmpl w:val="505C2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51BF7"/>
    <w:multiLevelType w:val="hybridMultilevel"/>
    <w:tmpl w:val="243C8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839396">
    <w:abstractNumId w:val="0"/>
  </w:num>
  <w:num w:numId="2" w16cid:durableId="1085567302">
    <w:abstractNumId w:val="2"/>
  </w:num>
  <w:num w:numId="3" w16cid:durableId="348140264">
    <w:abstractNumId w:val="1"/>
  </w:num>
  <w:num w:numId="4" w16cid:durableId="545066206">
    <w:abstractNumId w:val="3"/>
  </w:num>
  <w:num w:numId="5" w16cid:durableId="1554124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0B"/>
    <w:rsid w:val="000B2F3F"/>
    <w:rsid w:val="00143193"/>
    <w:rsid w:val="0017465A"/>
    <w:rsid w:val="00201F5F"/>
    <w:rsid w:val="002307DD"/>
    <w:rsid w:val="00292784"/>
    <w:rsid w:val="002C2FC9"/>
    <w:rsid w:val="00362080"/>
    <w:rsid w:val="00367591"/>
    <w:rsid w:val="003941F3"/>
    <w:rsid w:val="003C370B"/>
    <w:rsid w:val="004831C1"/>
    <w:rsid w:val="0056416E"/>
    <w:rsid w:val="00684EA0"/>
    <w:rsid w:val="00693B59"/>
    <w:rsid w:val="00907468"/>
    <w:rsid w:val="00907695"/>
    <w:rsid w:val="009A45D8"/>
    <w:rsid w:val="009C5FCC"/>
    <w:rsid w:val="00A24092"/>
    <w:rsid w:val="00A33B6D"/>
    <w:rsid w:val="00A727B4"/>
    <w:rsid w:val="00B01A8A"/>
    <w:rsid w:val="00B21323"/>
    <w:rsid w:val="00C648E2"/>
    <w:rsid w:val="00C9462C"/>
    <w:rsid w:val="00D07B15"/>
    <w:rsid w:val="00D25931"/>
    <w:rsid w:val="00D87649"/>
    <w:rsid w:val="00DD5F35"/>
    <w:rsid w:val="00E9273C"/>
    <w:rsid w:val="00EA14D8"/>
    <w:rsid w:val="00F3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1925F"/>
  <w14:defaultImageDpi w14:val="32767"/>
  <w15:chartTrackingRefBased/>
  <w15:docId w15:val="{E3A8C4FF-C629-40CC-8BED-29ACC68E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7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7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7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7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7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70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70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7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7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7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7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7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70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7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7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70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4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8E2"/>
  </w:style>
  <w:style w:type="paragraph" w:styleId="Piedepgina">
    <w:name w:val="footer"/>
    <w:basedOn w:val="Normal"/>
    <w:link w:val="PiedepginaCar"/>
    <w:uiPriority w:val="99"/>
    <w:unhideWhenUsed/>
    <w:rsid w:val="00C64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8E2"/>
  </w:style>
  <w:style w:type="paragraph" w:styleId="TDC2">
    <w:name w:val="toc 2"/>
    <w:basedOn w:val="Normal"/>
    <w:next w:val="Normal"/>
    <w:autoRedefine/>
    <w:uiPriority w:val="39"/>
    <w:unhideWhenUsed/>
    <w:rsid w:val="009C5FCC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9C5F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0877D-9ECF-414B-B653-9D2EE3D6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854</Words>
  <Characters>4701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    Objeto y Principios Generales</vt:lpstr>
      <vt:lpstr>    Funcionamiento Electrónico del Sector Público (Capítulo V)</vt:lpstr>
      <vt:lpstr>    Organización de la Administración General del Estado (AGE)</vt:lpstr>
      <vt:lpstr>    Sector Público Institucional</vt:lpstr>
      <vt:lpstr>    Relaciones Interadministrativas y Seguridad</vt:lpstr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8</cp:revision>
  <cp:lastPrinted>2026-02-09T19:24:00Z</cp:lastPrinted>
  <dcterms:created xsi:type="dcterms:W3CDTF">2026-02-09T19:18:00Z</dcterms:created>
  <dcterms:modified xsi:type="dcterms:W3CDTF">2026-02-10T22:32:00Z</dcterms:modified>
</cp:coreProperties>
</file>