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B641" w14:textId="1960C91A" w:rsidR="00F3084A" w:rsidRDefault="00EC1D0D" w:rsidP="00EC1D0D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REAL DECRETO 203/2021</w:t>
      </w:r>
    </w:p>
    <w:p w14:paraId="71485495" w14:textId="77777777" w:rsidR="00233AAB" w:rsidRDefault="00233AAB" w:rsidP="00EC1D0D">
      <w:pPr>
        <w:jc w:val="center"/>
        <w:rPr>
          <w:rFonts w:ascii="Arial Black" w:hAnsi="Arial Black"/>
          <w:sz w:val="36"/>
          <w:szCs w:val="28"/>
        </w:rPr>
      </w:pPr>
    </w:p>
    <w:p w14:paraId="72A8823C" w14:textId="266724DA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"1-3"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1568036" w:history="1">
        <w:r w:rsidRPr="00D82002">
          <w:rPr>
            <w:rStyle w:val="Hipervnculo"/>
            <w:noProof/>
            <w:highlight w:val="yellow"/>
          </w:rPr>
          <w:t>Estructura y Objeto del Real Decreto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991AB4" w14:textId="604FF4B4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68037" w:history="1">
        <w:r w:rsidRPr="00D82002">
          <w:rPr>
            <w:rStyle w:val="Hipervnculo"/>
            <w:noProof/>
            <w:highlight w:val="yellow"/>
          </w:rPr>
          <w:t>Principios Generales (Art.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A23C3E" w14:textId="187B6E0D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68038" w:history="1">
        <w:r w:rsidRPr="00D82002">
          <w:rPr>
            <w:rStyle w:val="Hipervnculo"/>
            <w:noProof/>
            <w:highlight w:val="yellow"/>
          </w:rPr>
          <w:t>Identificación y Autenticación (Capítulo II)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EDC99F" w14:textId="07A89C83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68039" w:history="1">
        <w:r w:rsidRPr="00D82002">
          <w:rPr>
            <w:rStyle w:val="Hipervnculo"/>
            <w:noProof/>
            <w:highlight w:val="yellow"/>
          </w:rPr>
          <w:t>Instrumentos para el Ciudadano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5CD453" w14:textId="267BE985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68040" w:history="1">
        <w:r w:rsidRPr="00D82002">
          <w:rPr>
            <w:rStyle w:val="Hipervnculo"/>
            <w:noProof/>
            <w:highlight w:val="yellow"/>
          </w:rPr>
          <w:t>Transferencia y Reutilización (Título IV)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4A157E" w14:textId="5AA4841A" w:rsidR="00233AAB" w:rsidRDefault="00233AAB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68041" w:history="1">
        <w:r w:rsidRPr="00D82002">
          <w:rPr>
            <w:rStyle w:val="Hipervnculo"/>
            <w:noProof/>
            <w:highlight w:val="yellow"/>
          </w:rPr>
          <w:t>Disposiciones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D9397F" w14:textId="4D277C75" w:rsidR="00EC1D0D" w:rsidRDefault="00233AAB" w:rsidP="00EC1D0D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4C9E91AC" w14:textId="3E990908" w:rsidR="00EC1D0D" w:rsidRDefault="00EC1D0D" w:rsidP="00EC1D0D">
      <w:pPr>
        <w:pStyle w:val="Ttulo2"/>
      </w:pPr>
      <w:r>
        <w:tab/>
      </w:r>
      <w:bookmarkStart w:id="0" w:name="_Toc221568036"/>
      <w:r w:rsidRPr="00A87DE2">
        <w:rPr>
          <w:highlight w:val="yellow"/>
        </w:rPr>
        <w:t>Estructura y Objeto del Real Decreto</w:t>
      </w:r>
      <w:bookmarkEnd w:id="0"/>
    </w:p>
    <w:p w14:paraId="35347883" w14:textId="77777777" w:rsidR="00EC1D0D" w:rsidRDefault="00EC1D0D" w:rsidP="00EC1D0D">
      <w:pPr>
        <w:pStyle w:val="Prrafodelista"/>
        <w:numPr>
          <w:ilvl w:val="0"/>
          <w:numId w:val="1"/>
        </w:numPr>
      </w:pPr>
      <w:r w:rsidRPr="00E51710">
        <w:rPr>
          <w:b/>
          <w:bCs/>
        </w:rPr>
        <w:t>Objeto (Art. 1):</w:t>
      </w:r>
      <w:r>
        <w:t xml:space="preserve"> Desarrolla las Leyes 39/2015 y 40/2015 en lo referido a la actuación y el funcionamiento electrónico del sector público.</w:t>
      </w:r>
    </w:p>
    <w:p w14:paraId="39000EDC" w14:textId="64D67061" w:rsidR="00EC1D0D" w:rsidRDefault="00EC1D0D" w:rsidP="00EC1D0D">
      <w:pPr>
        <w:pStyle w:val="Prrafodelista"/>
        <w:numPr>
          <w:ilvl w:val="0"/>
          <w:numId w:val="1"/>
        </w:numPr>
      </w:pPr>
      <w:r w:rsidRPr="00E51710">
        <w:rPr>
          <w:b/>
          <w:bCs/>
        </w:rPr>
        <w:t>Composición</w:t>
      </w:r>
      <w:r>
        <w:t>: Consta de un artículo único que aprueba el Reglamento, dos disposiciones transitorias, una derogatoria y cinco finales. El Reglamento propiamente dicho tiene 65 artículos distribuidos en cuatro títulos.</w:t>
      </w:r>
    </w:p>
    <w:p w14:paraId="5EB0745C" w14:textId="1318C88D" w:rsidR="00EC1D0D" w:rsidRPr="00A87DE2" w:rsidRDefault="00EC1D0D" w:rsidP="00EC1D0D">
      <w:pPr>
        <w:pStyle w:val="Prrafodelista"/>
        <w:numPr>
          <w:ilvl w:val="0"/>
          <w:numId w:val="1"/>
        </w:numPr>
        <w:rPr>
          <w:highlight w:val="yellow"/>
        </w:rPr>
      </w:pPr>
      <w:r w:rsidRPr="00A87DE2">
        <w:rPr>
          <w:b/>
          <w:bCs/>
          <w:highlight w:val="yellow"/>
        </w:rPr>
        <w:t>Entrada en vigor:</w:t>
      </w:r>
      <w:r w:rsidRPr="00A87DE2">
        <w:rPr>
          <w:highlight w:val="yellow"/>
        </w:rPr>
        <w:t xml:space="preserve"> El 2 de abril de 2021.</w:t>
      </w:r>
    </w:p>
    <w:p w14:paraId="7F34831E" w14:textId="77777777" w:rsidR="00EC1D0D" w:rsidRDefault="00EC1D0D" w:rsidP="00EC1D0D"/>
    <w:p w14:paraId="2CDAD48A" w14:textId="2750B61E" w:rsidR="00EC1D0D" w:rsidRDefault="00EC1D0D" w:rsidP="00EC1D0D">
      <w:pPr>
        <w:pStyle w:val="Ttulo2"/>
      </w:pPr>
      <w:bookmarkStart w:id="1" w:name="_Toc221568037"/>
      <w:r w:rsidRPr="00601B63">
        <w:rPr>
          <w:highlight w:val="yellow"/>
        </w:rPr>
        <w:t>Principios Generales (Art. 2)</w:t>
      </w:r>
      <w:bookmarkEnd w:id="1"/>
    </w:p>
    <w:p w14:paraId="4F78E958" w14:textId="4A6515FB" w:rsidR="00601B63" w:rsidRPr="00601B63" w:rsidRDefault="00601B63" w:rsidP="00601B63">
      <w:pPr>
        <w:pStyle w:val="Prrafodelista"/>
        <w:numPr>
          <w:ilvl w:val="0"/>
          <w:numId w:val="18"/>
        </w:numPr>
        <w:rPr>
          <w:highlight w:val="yellow"/>
        </w:rPr>
      </w:pPr>
      <w:r w:rsidRPr="00601B63">
        <w:rPr>
          <w:b/>
          <w:bCs/>
          <w:highlight w:val="yellow"/>
        </w:rPr>
        <w:t>Principio de Personalización y Proactividad</w:t>
      </w:r>
      <w:r w:rsidRPr="00601B63">
        <w:rPr>
          <w:highlight w:val="yellow"/>
        </w:rPr>
        <w:t xml:space="preserve">: capacidad de la Administración para "proporcionar servicios </w:t>
      </w:r>
      <w:proofErr w:type="spellStart"/>
      <w:r w:rsidRPr="00601B63">
        <w:rPr>
          <w:highlight w:val="yellow"/>
        </w:rPr>
        <w:t>precumplimentados</w:t>
      </w:r>
      <w:proofErr w:type="spellEnd"/>
      <w:r w:rsidRPr="00601B63">
        <w:rPr>
          <w:highlight w:val="yellow"/>
        </w:rPr>
        <w:t xml:space="preserve"> y anticiparse a las necesidades del usuario.</w:t>
      </w:r>
    </w:p>
    <w:p w14:paraId="12B259BA" w14:textId="77777777" w:rsidR="00EC1D0D" w:rsidRDefault="00EC1D0D" w:rsidP="00EC1D0D">
      <w:pPr>
        <w:pStyle w:val="Prrafodelista"/>
        <w:numPr>
          <w:ilvl w:val="0"/>
          <w:numId w:val="2"/>
        </w:numPr>
      </w:pPr>
      <w:r w:rsidRPr="00E51710">
        <w:rPr>
          <w:b/>
          <w:bCs/>
        </w:rPr>
        <w:t>Neutralidad tecnológica:</w:t>
      </w:r>
      <w:r>
        <w:t xml:space="preserve"> Independencia en la elección de alternativas tecnológicas.</w:t>
      </w:r>
    </w:p>
    <w:p w14:paraId="5CDAF323" w14:textId="77777777" w:rsidR="00EC1D0D" w:rsidRDefault="00EC1D0D" w:rsidP="00EC1D0D">
      <w:pPr>
        <w:pStyle w:val="Prrafodelista"/>
        <w:numPr>
          <w:ilvl w:val="0"/>
          <w:numId w:val="2"/>
        </w:numPr>
      </w:pPr>
      <w:r w:rsidRPr="00E51710">
        <w:rPr>
          <w:b/>
          <w:bCs/>
        </w:rPr>
        <w:t>Accesibilidad</w:t>
      </w:r>
      <w:r>
        <w:t>: Garantizar igualdad y no discriminación (especialmente para discapacitados y mayores).</w:t>
      </w:r>
    </w:p>
    <w:p w14:paraId="7E1B4C34" w14:textId="23826500" w:rsidR="00EC1D0D" w:rsidRDefault="00EC1D0D" w:rsidP="00EC1D0D">
      <w:pPr>
        <w:pStyle w:val="Prrafodelista"/>
        <w:numPr>
          <w:ilvl w:val="0"/>
          <w:numId w:val="2"/>
        </w:numPr>
      </w:pPr>
      <w:r w:rsidRPr="00E51710">
        <w:rPr>
          <w:b/>
          <w:bCs/>
        </w:rPr>
        <w:t>Interoperabilidad</w:t>
      </w:r>
      <w:r>
        <w:t>: Capacidad de los sistemas para compartir datos y posibilitar el intercambio de información.</w:t>
      </w:r>
      <w:r w:rsidR="00C41DBD">
        <w:t xml:space="preserve"> </w:t>
      </w:r>
    </w:p>
    <w:p w14:paraId="55232CC1" w14:textId="7843D83A" w:rsidR="00C41DBD" w:rsidRDefault="00C41DBD" w:rsidP="00EC1D0D">
      <w:pPr>
        <w:pStyle w:val="Prrafodelista"/>
        <w:numPr>
          <w:ilvl w:val="0"/>
          <w:numId w:val="2"/>
        </w:numPr>
      </w:pPr>
      <w:r w:rsidRPr="00C41DBD">
        <w:rPr>
          <w:b/>
          <w:bCs/>
        </w:rPr>
        <w:t>Dimensiones del ENI (Art. 6 RD 4/2010):</w:t>
      </w:r>
      <w:r w:rsidRPr="00C41DBD">
        <w:t xml:space="preserve"> Organizativa, Semántica y Técnica</w:t>
      </w:r>
      <w:r>
        <w:t>.</w:t>
      </w:r>
    </w:p>
    <w:p w14:paraId="3FE75D7E" w14:textId="46F9F43B" w:rsidR="00EC1D0D" w:rsidRDefault="00EC1D0D" w:rsidP="00EC1D0D">
      <w:pPr>
        <w:pStyle w:val="Prrafodelista"/>
        <w:numPr>
          <w:ilvl w:val="0"/>
          <w:numId w:val="2"/>
        </w:numPr>
      </w:pPr>
      <w:r w:rsidRPr="00E51710">
        <w:rPr>
          <w:b/>
          <w:bCs/>
        </w:rPr>
        <w:lastRenderedPageBreak/>
        <w:t>Proporcionalidad</w:t>
      </w:r>
      <w:r>
        <w:t>: Seguridad adecuada a la naturaleza del trámite.</w:t>
      </w:r>
    </w:p>
    <w:p w14:paraId="547A0581" w14:textId="73E72655" w:rsidR="00C41DBD" w:rsidRPr="00601B63" w:rsidRDefault="00C41DBD" w:rsidP="00EC1D0D">
      <w:pPr>
        <w:pStyle w:val="Prrafodelista"/>
        <w:numPr>
          <w:ilvl w:val="0"/>
          <w:numId w:val="2"/>
        </w:numPr>
        <w:rPr>
          <w:highlight w:val="yellow"/>
        </w:rPr>
      </w:pPr>
      <w:r w:rsidRPr="00601B63">
        <w:rPr>
          <w:b/>
          <w:bCs/>
          <w:highlight w:val="yellow"/>
        </w:rPr>
        <w:t>Actuación Administrativa Automatizada (Art. 20):</w:t>
      </w:r>
      <w:r w:rsidRPr="00601B63">
        <w:rPr>
          <w:highlight w:val="yellow"/>
        </w:rPr>
        <w:t xml:space="preserve"> Se usa el Sello electrónico de Administración Pública basado en certificado cualificado"</w:t>
      </w:r>
    </w:p>
    <w:p w14:paraId="6A2B4374" w14:textId="77777777" w:rsidR="009834EF" w:rsidRDefault="009834EF" w:rsidP="009834EF"/>
    <w:p w14:paraId="37AC9941" w14:textId="2176AF8E" w:rsidR="009834EF" w:rsidRDefault="009834EF" w:rsidP="009834EF">
      <w:pPr>
        <w:pStyle w:val="Ttulo2"/>
      </w:pPr>
      <w:bookmarkStart w:id="2" w:name="_Toc221568038"/>
      <w:r w:rsidRPr="001E548A">
        <w:rPr>
          <w:highlight w:val="yellow"/>
        </w:rPr>
        <w:t>Identificación y Autenticación (Capítulo II)</w:t>
      </w:r>
      <w:bookmarkEnd w:id="2"/>
    </w:p>
    <w:p w14:paraId="2DB76ABC" w14:textId="766AD002" w:rsidR="009834EF" w:rsidRDefault="009834EF" w:rsidP="009834EF">
      <w:pPr>
        <w:pStyle w:val="Prrafodelista"/>
        <w:numPr>
          <w:ilvl w:val="0"/>
          <w:numId w:val="5"/>
        </w:numPr>
      </w:pPr>
      <w:r w:rsidRPr="00E51710">
        <w:rPr>
          <w:b/>
          <w:bCs/>
        </w:rPr>
        <w:t>Sistemas de verificación</w:t>
      </w:r>
      <w:r>
        <w:t>: Regula las plataformas de verificación de certificados electrónicos y otros sistemas de identificación.</w:t>
      </w:r>
    </w:p>
    <w:p w14:paraId="7086825D" w14:textId="5052ABA4" w:rsidR="009834EF" w:rsidRPr="001E548A" w:rsidRDefault="009834EF" w:rsidP="009834EF">
      <w:pPr>
        <w:pStyle w:val="Prrafodelista"/>
        <w:numPr>
          <w:ilvl w:val="0"/>
          <w:numId w:val="5"/>
        </w:numPr>
        <w:rPr>
          <w:highlight w:val="yellow"/>
        </w:rPr>
      </w:pPr>
      <w:r w:rsidRPr="001E548A">
        <w:rPr>
          <w:b/>
          <w:bCs/>
          <w:highlight w:val="yellow"/>
        </w:rPr>
        <w:t>Representación (Art. 32):</w:t>
      </w:r>
      <w:r w:rsidRPr="001E548A">
        <w:rPr>
          <w:highlight w:val="yellow"/>
        </w:rPr>
        <w:t xml:space="preserve"> Las personas interesadas pueden actuar por medio de representante. Los representantes de personas obligadas a relacionarse electrónicamente también están obligados a usar medios electrónicos en dicha representación.</w:t>
      </w:r>
    </w:p>
    <w:p w14:paraId="7B086B15" w14:textId="11C1576B" w:rsidR="009834EF" w:rsidRDefault="009834EF" w:rsidP="009834EF">
      <w:pPr>
        <w:pStyle w:val="Prrafodelista"/>
        <w:numPr>
          <w:ilvl w:val="0"/>
          <w:numId w:val="5"/>
        </w:numPr>
      </w:pPr>
      <w:r w:rsidRPr="00E51710">
        <w:rPr>
          <w:b/>
          <w:bCs/>
        </w:rPr>
        <w:t>REA</w:t>
      </w:r>
      <w:r>
        <w:t>: Se regula el Registro Electrónico de Apoderamientos de la Administración General del Estado.</w:t>
      </w:r>
    </w:p>
    <w:p w14:paraId="3939C6A6" w14:textId="77777777" w:rsidR="009834EF" w:rsidRDefault="009834EF" w:rsidP="009834EF"/>
    <w:p w14:paraId="51555253" w14:textId="7B64C0EE" w:rsidR="009834EF" w:rsidRDefault="009834EF" w:rsidP="009834EF">
      <w:pPr>
        <w:pStyle w:val="Ttulo2"/>
      </w:pPr>
      <w:bookmarkStart w:id="3" w:name="_Toc221568039"/>
      <w:r w:rsidRPr="00A87DE2">
        <w:rPr>
          <w:highlight w:val="yellow"/>
        </w:rPr>
        <w:t>Instrumentos para el Ciudadano</w:t>
      </w:r>
      <w:bookmarkEnd w:id="3"/>
    </w:p>
    <w:p w14:paraId="6FA90346" w14:textId="716CABD7" w:rsidR="009834EF" w:rsidRPr="001E548A" w:rsidRDefault="009834EF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1E548A">
        <w:rPr>
          <w:b/>
          <w:bCs/>
          <w:highlight w:val="yellow"/>
        </w:rPr>
        <w:t>Carpeta Ciudadana (Art. 8):</w:t>
      </w:r>
      <w:r w:rsidRPr="001E548A">
        <w:rPr>
          <w:highlight w:val="yellow"/>
        </w:rPr>
        <w:t xml:space="preserve"> Es el área personalizada accesible a través del Punto de Acceso General (</w:t>
      </w:r>
      <w:proofErr w:type="spellStart"/>
      <w:r w:rsidRPr="001E548A">
        <w:rPr>
          <w:highlight w:val="yellow"/>
        </w:rPr>
        <w:t>PAGe</w:t>
      </w:r>
      <w:proofErr w:type="spellEnd"/>
      <w:r w:rsidRPr="001E548A">
        <w:rPr>
          <w:highlight w:val="yellow"/>
        </w:rPr>
        <w:t>) que permite al interesado el seguimiento del estado de tramitación de sus procedimientos.</w:t>
      </w:r>
    </w:p>
    <w:p w14:paraId="56D425AC" w14:textId="7B29C916" w:rsidR="003566A8" w:rsidRPr="00B210B9" w:rsidRDefault="00F97046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B210B9">
        <w:rPr>
          <w:b/>
          <w:bCs/>
          <w:highlight w:val="yellow"/>
        </w:rPr>
        <w:t>Propósito de la Sede (Art. 9):</w:t>
      </w:r>
      <w:r w:rsidRPr="00B210B9">
        <w:rPr>
          <w:highlight w:val="yellow"/>
        </w:rPr>
        <w:t xml:space="preserve"> Realizar trámites que requieran la identificación de la Administración y la identificación o firma de los interesados.</w:t>
      </w:r>
    </w:p>
    <w:p w14:paraId="090044F5" w14:textId="559E6F58" w:rsidR="0032132A" w:rsidRPr="00B210B9" w:rsidRDefault="0032132A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B210B9">
        <w:rPr>
          <w:b/>
          <w:bCs/>
          <w:highlight w:val="yellow"/>
        </w:rPr>
        <w:t>Sistemas de firma en la Sede (Art. 18):</w:t>
      </w:r>
      <w:r w:rsidRPr="00B210B9">
        <w:rPr>
          <w:highlight w:val="yellow"/>
        </w:rPr>
        <w:t xml:space="preserve"> La Sede debe permitir, al menos, el sistema de firma electrónica incorporado al DNI y los sistemas de clave concertada (</w:t>
      </w:r>
      <w:proofErr w:type="spellStart"/>
      <w:r w:rsidRPr="00B210B9">
        <w:rPr>
          <w:highlight w:val="yellow"/>
        </w:rPr>
        <w:t>Cl@ve</w:t>
      </w:r>
      <w:proofErr w:type="spellEnd"/>
      <w:r w:rsidRPr="00B210B9">
        <w:rPr>
          <w:highlight w:val="yellow"/>
        </w:rPr>
        <w:t>).</w:t>
      </w:r>
    </w:p>
    <w:p w14:paraId="341F5F8C" w14:textId="77777777" w:rsidR="00F97046" w:rsidRPr="00B210B9" w:rsidRDefault="00F97046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B210B9">
        <w:rPr>
          <w:b/>
          <w:bCs/>
          <w:highlight w:val="yellow"/>
        </w:rPr>
        <w:t>Contenido mínimo de la Sede (Art. 11):</w:t>
      </w:r>
      <w:r w:rsidRPr="00B210B9">
        <w:rPr>
          <w:highlight w:val="yellow"/>
        </w:rPr>
        <w:t xml:space="preserve"> Debe incluir:</w:t>
      </w:r>
    </w:p>
    <w:p w14:paraId="6F4FE67F" w14:textId="33BC6A02" w:rsidR="00F97046" w:rsidRPr="00B210B9" w:rsidRDefault="00F97046" w:rsidP="00F97046">
      <w:pPr>
        <w:pStyle w:val="Prrafodelista"/>
        <w:rPr>
          <w:highlight w:val="yellow"/>
        </w:rPr>
      </w:pPr>
      <w:r w:rsidRPr="00B210B9">
        <w:rPr>
          <w:highlight w:val="yellow"/>
        </w:rPr>
        <w:t xml:space="preserve">1. Relación de canales de acceso, </w:t>
      </w:r>
    </w:p>
    <w:p w14:paraId="2EF2CD58" w14:textId="77777777" w:rsidR="00F97046" w:rsidRPr="00B210B9" w:rsidRDefault="00F97046" w:rsidP="00F97046">
      <w:pPr>
        <w:pStyle w:val="Prrafodelista"/>
        <w:rPr>
          <w:highlight w:val="yellow"/>
        </w:rPr>
      </w:pPr>
      <w:r w:rsidRPr="00B210B9">
        <w:rPr>
          <w:highlight w:val="yellow"/>
        </w:rPr>
        <w:t xml:space="preserve">2. Normativa del Registro, </w:t>
      </w:r>
    </w:p>
    <w:p w14:paraId="23E91A5D" w14:textId="017C9753" w:rsidR="009A711F" w:rsidRDefault="00F97046" w:rsidP="009A711F">
      <w:pPr>
        <w:pStyle w:val="Prrafodelista"/>
      </w:pPr>
      <w:r w:rsidRPr="00B210B9">
        <w:rPr>
          <w:highlight w:val="yellow"/>
        </w:rPr>
        <w:t>3. Sistema de quejas y sugerencias.</w:t>
      </w:r>
    </w:p>
    <w:p w14:paraId="7AE65944" w14:textId="055D6541" w:rsidR="009A711F" w:rsidRPr="00B210B9" w:rsidRDefault="009A711F" w:rsidP="009A711F">
      <w:pPr>
        <w:pStyle w:val="Prrafodelista"/>
        <w:numPr>
          <w:ilvl w:val="0"/>
          <w:numId w:val="17"/>
        </w:numPr>
        <w:rPr>
          <w:highlight w:val="yellow"/>
        </w:rPr>
      </w:pPr>
      <w:r w:rsidRPr="00B210B9">
        <w:rPr>
          <w:b/>
          <w:bCs/>
          <w:highlight w:val="yellow"/>
        </w:rPr>
        <w:t>Excepción de firma:</w:t>
      </w:r>
      <w:r w:rsidRPr="00B210B9">
        <w:rPr>
          <w:highlight w:val="yellow"/>
        </w:rPr>
        <w:t xml:space="preserve"> NO se requiere firma para conocer el estado de tramitación de los procedimientos</w:t>
      </w:r>
    </w:p>
    <w:p w14:paraId="35FC8F56" w14:textId="20CF1A5E" w:rsidR="009834EF" w:rsidRDefault="009834EF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A87DE2">
        <w:rPr>
          <w:b/>
          <w:bCs/>
          <w:highlight w:val="yellow"/>
        </w:rPr>
        <w:t>Subsanación (Art. 14 y 58):</w:t>
      </w:r>
      <w:r w:rsidRPr="00A87DE2">
        <w:rPr>
          <w:highlight w:val="yellow"/>
        </w:rPr>
        <w:t xml:space="preserve"> Si un ciudadano presenta un documento que no cumple con los formatos y estándares tecnológicos determinados, se le requerirá para que lo subsane en un plazo de diez días.</w:t>
      </w:r>
    </w:p>
    <w:p w14:paraId="452E2D13" w14:textId="168051F6" w:rsidR="00412C39" w:rsidRPr="00412C39" w:rsidRDefault="00412C39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412C39">
        <w:rPr>
          <w:b/>
          <w:bCs/>
          <w:highlight w:val="yellow"/>
        </w:rPr>
        <w:t>Disponibilidad del CSV (Art. 21.4):</w:t>
      </w:r>
      <w:r w:rsidRPr="00412C39">
        <w:rPr>
          <w:highlight w:val="yellow"/>
        </w:rPr>
        <w:t xml:space="preserve"> El plazo de disponibilidad para la verificación del Código Seguro de Verificación (CSV) será de al menos cinco años.</w:t>
      </w:r>
    </w:p>
    <w:p w14:paraId="52EAA766" w14:textId="7539CF4A" w:rsidR="0032132A" w:rsidRDefault="0032132A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BB0BEB">
        <w:rPr>
          <w:b/>
          <w:bCs/>
          <w:highlight w:val="yellow"/>
        </w:rPr>
        <w:t>Cómputo de Plazos en el Registro (Art. 31):</w:t>
      </w:r>
      <w:r w:rsidRPr="00BB0BEB">
        <w:rPr>
          <w:highlight w:val="yellow"/>
        </w:rPr>
        <w:t xml:space="preserve"> El registro electrónico se rige por la fecha y hora oficial de la Sede Electrónica de acceso.</w:t>
      </w:r>
      <w:r w:rsidR="00B210B9" w:rsidRPr="00BB0BEB">
        <w:rPr>
          <w:highlight w:val="yellow"/>
        </w:rPr>
        <w:t xml:space="preserve"> Los plazos señalados por días se entienden como días hábiles (excluyendo sábados, domingos y festivos) y se cuentan a partir del día siguiente a la notificación</w:t>
      </w:r>
      <w:r w:rsidR="00BB0BEB" w:rsidRPr="00BB0BEB">
        <w:rPr>
          <w:highlight w:val="yellow"/>
        </w:rPr>
        <w:t>.</w:t>
      </w:r>
    </w:p>
    <w:p w14:paraId="300F1721" w14:textId="5C1A0840" w:rsidR="00412C39" w:rsidRPr="00412C39" w:rsidRDefault="00412C39" w:rsidP="009834EF">
      <w:pPr>
        <w:pStyle w:val="Prrafodelista"/>
        <w:numPr>
          <w:ilvl w:val="0"/>
          <w:numId w:val="6"/>
        </w:numPr>
        <w:rPr>
          <w:highlight w:val="yellow"/>
        </w:rPr>
      </w:pPr>
      <w:r w:rsidRPr="00412C39">
        <w:rPr>
          <w:b/>
          <w:bCs/>
          <w:highlight w:val="yellow"/>
        </w:rPr>
        <w:t>Validez del DNIe</w:t>
      </w:r>
      <w:r w:rsidRPr="00412C39">
        <w:rPr>
          <w:highlight w:val="yellow"/>
        </w:rPr>
        <w:t>: Aunque es de la Ley 6/2020, suele caer en este bloque: la vigencia de los certificados del DNIe "no podrá ser superior a cinco años</w:t>
      </w:r>
    </w:p>
    <w:p w14:paraId="194124A2" w14:textId="33A56397" w:rsidR="009A711F" w:rsidRPr="00B210B9" w:rsidRDefault="009A711F" w:rsidP="009A711F">
      <w:pPr>
        <w:pStyle w:val="Prrafodelista"/>
        <w:numPr>
          <w:ilvl w:val="0"/>
          <w:numId w:val="6"/>
        </w:numPr>
        <w:rPr>
          <w:highlight w:val="yellow"/>
        </w:rPr>
      </w:pPr>
      <w:r w:rsidRPr="00B210B9">
        <w:rPr>
          <w:b/>
          <w:bCs/>
          <w:highlight w:val="yellow"/>
        </w:rPr>
        <w:t>Conservación de papel (Art. 53):</w:t>
      </w:r>
      <w:r w:rsidRPr="00B210B9">
        <w:rPr>
          <w:highlight w:val="yellow"/>
        </w:rPr>
        <w:t xml:space="preserve"> Los documentos presentados en papel que no se devuelvan tras digitalizarse se conservarán al menos seis meses.</w:t>
      </w:r>
    </w:p>
    <w:p w14:paraId="3C034166" w14:textId="77777777" w:rsidR="009834EF" w:rsidRDefault="009834EF" w:rsidP="009834EF"/>
    <w:p w14:paraId="65D0620D" w14:textId="6122E154" w:rsidR="009834EF" w:rsidRDefault="009834EF" w:rsidP="009834EF">
      <w:pPr>
        <w:pStyle w:val="Ttulo2"/>
      </w:pPr>
      <w:bookmarkStart w:id="4" w:name="_Toc221568040"/>
      <w:r w:rsidRPr="00A87DE2">
        <w:rPr>
          <w:highlight w:val="yellow"/>
        </w:rPr>
        <w:t>Transferencia y Reutilización (Título IV)</w:t>
      </w:r>
      <w:bookmarkEnd w:id="4"/>
    </w:p>
    <w:p w14:paraId="36D30976" w14:textId="58E795B3" w:rsidR="009834EF" w:rsidRPr="00A87DE2" w:rsidRDefault="009834EF" w:rsidP="009834EF">
      <w:pPr>
        <w:pStyle w:val="Prrafodelista"/>
        <w:numPr>
          <w:ilvl w:val="0"/>
          <w:numId w:val="11"/>
        </w:numPr>
        <w:rPr>
          <w:highlight w:val="yellow"/>
        </w:rPr>
      </w:pPr>
      <w:r w:rsidRPr="00A87DE2">
        <w:rPr>
          <w:b/>
          <w:bCs/>
          <w:highlight w:val="yellow"/>
        </w:rPr>
        <w:t>Reutilización (Art. 64):</w:t>
      </w:r>
      <w:r w:rsidRPr="00A87DE2">
        <w:rPr>
          <w:highlight w:val="yellow"/>
        </w:rPr>
        <w:t xml:space="preserve"> Regula la reutilización de sistemas y aplicaciones entre Administraciones Públicas.</w:t>
      </w:r>
    </w:p>
    <w:p w14:paraId="216BA036" w14:textId="3056988A" w:rsidR="009834EF" w:rsidRPr="00A87DE2" w:rsidRDefault="009834EF" w:rsidP="009834EF">
      <w:pPr>
        <w:pStyle w:val="Prrafodelista"/>
        <w:numPr>
          <w:ilvl w:val="0"/>
          <w:numId w:val="11"/>
        </w:numPr>
        <w:rPr>
          <w:highlight w:val="yellow"/>
        </w:rPr>
      </w:pPr>
      <w:r w:rsidRPr="00A87DE2">
        <w:rPr>
          <w:b/>
          <w:bCs/>
          <w:highlight w:val="yellow"/>
        </w:rPr>
        <w:t>Adhesión (Art. 65):</w:t>
      </w:r>
      <w:r w:rsidRPr="00A87DE2">
        <w:rPr>
          <w:highlight w:val="yellow"/>
        </w:rPr>
        <w:t xml:space="preserve"> Regula el procedimiento para que otras Administraciones se adhieran a las plataformas, registros o servicios electrónicos de la AGE.</w:t>
      </w:r>
    </w:p>
    <w:p w14:paraId="7BF79B41" w14:textId="77777777" w:rsidR="009834EF" w:rsidRDefault="009834EF" w:rsidP="009834EF"/>
    <w:p w14:paraId="68BBFE4A" w14:textId="5B860C75" w:rsidR="009834EF" w:rsidRDefault="00E51710" w:rsidP="00E51710">
      <w:pPr>
        <w:pStyle w:val="Ttulo2"/>
      </w:pPr>
      <w:bookmarkStart w:id="5" w:name="_Toc221568041"/>
      <w:r w:rsidRPr="008737AD">
        <w:rPr>
          <w:highlight w:val="yellow"/>
        </w:rPr>
        <w:t>Disposiciones Adicionales</w:t>
      </w:r>
      <w:bookmarkEnd w:id="5"/>
    </w:p>
    <w:p w14:paraId="2739491B" w14:textId="698E9D52" w:rsidR="00E51710" w:rsidRPr="001E548A" w:rsidRDefault="00E51710" w:rsidP="00E51710">
      <w:pPr>
        <w:pStyle w:val="Prrafodelista"/>
        <w:numPr>
          <w:ilvl w:val="0"/>
          <w:numId w:val="12"/>
        </w:numPr>
        <w:rPr>
          <w:highlight w:val="yellow"/>
        </w:rPr>
      </w:pPr>
      <w:r w:rsidRPr="001E548A">
        <w:rPr>
          <w:b/>
          <w:bCs/>
          <w:highlight w:val="yellow"/>
        </w:rPr>
        <w:t>DA 1ª (Uso obligatorio):</w:t>
      </w:r>
      <w:r w:rsidRPr="001E548A">
        <w:rPr>
          <w:highlight w:val="yellow"/>
        </w:rPr>
        <w:t xml:space="preserve"> es obligatorio el uso de medios electrónicos en los procesos selectivos para el acceso al empleo público en el ámbito de la AGE</w:t>
      </w:r>
      <w:r w:rsidR="00270F76" w:rsidRPr="001E548A">
        <w:rPr>
          <w:highlight w:val="yellow"/>
        </w:rPr>
        <w:t>.</w:t>
      </w:r>
    </w:p>
    <w:p w14:paraId="10D46071" w14:textId="76E46F82" w:rsidR="00E51710" w:rsidRPr="00BB0BEB" w:rsidRDefault="00E51710" w:rsidP="00E51710">
      <w:pPr>
        <w:pStyle w:val="Prrafodelista"/>
        <w:numPr>
          <w:ilvl w:val="0"/>
          <w:numId w:val="12"/>
        </w:numPr>
        <w:rPr>
          <w:highlight w:val="yellow"/>
        </w:rPr>
      </w:pPr>
      <w:r w:rsidRPr="00BB0BEB">
        <w:rPr>
          <w:b/>
          <w:bCs/>
          <w:highlight w:val="yellow"/>
        </w:rPr>
        <w:t>DA 3ª (</w:t>
      </w:r>
      <w:proofErr w:type="spellStart"/>
      <w:r w:rsidRPr="00BB0BEB">
        <w:rPr>
          <w:b/>
          <w:bCs/>
          <w:highlight w:val="yellow"/>
        </w:rPr>
        <w:t>eIDAS</w:t>
      </w:r>
      <w:proofErr w:type="spellEnd"/>
      <w:r w:rsidRPr="00BB0BEB">
        <w:rPr>
          <w:b/>
          <w:bCs/>
          <w:highlight w:val="yellow"/>
        </w:rPr>
        <w:t>):</w:t>
      </w:r>
      <w:r w:rsidRPr="00BB0BEB">
        <w:rPr>
          <w:highlight w:val="yellow"/>
        </w:rPr>
        <w:t xml:space="preserve"> Crea el Nodo de interoperabilidad de identificación electrónica para el reconocimiento mutuo de identidades entre Estados miembros de la UE.</w:t>
      </w:r>
      <w:r w:rsidR="00C50BF5" w:rsidRPr="00BB0BEB">
        <w:rPr>
          <w:highlight w:val="yellow"/>
        </w:rPr>
        <w:t xml:space="preserve"> La integración de las AA.PP. con el nodo </w:t>
      </w:r>
      <w:proofErr w:type="spellStart"/>
      <w:r w:rsidR="00C50BF5" w:rsidRPr="00BB0BEB">
        <w:rPr>
          <w:highlight w:val="yellow"/>
        </w:rPr>
        <w:t>eIDAS</w:t>
      </w:r>
      <w:proofErr w:type="spellEnd"/>
      <w:r w:rsidR="00C50BF5" w:rsidRPr="00BB0BEB">
        <w:rPr>
          <w:highlight w:val="yellow"/>
        </w:rPr>
        <w:t xml:space="preserve"> se realiza a través de </w:t>
      </w:r>
      <w:proofErr w:type="spellStart"/>
      <w:r w:rsidR="00C50BF5" w:rsidRPr="00BB0BEB">
        <w:rPr>
          <w:highlight w:val="yellow"/>
        </w:rPr>
        <w:t>Cl@ve</w:t>
      </w:r>
      <w:proofErr w:type="spellEnd"/>
      <w:r w:rsidR="00C50BF5" w:rsidRPr="00BB0BEB">
        <w:rPr>
          <w:highlight w:val="yellow"/>
        </w:rPr>
        <w:t xml:space="preserve"> y utiliza el estándar SAML 2.0.</w:t>
      </w:r>
    </w:p>
    <w:sectPr w:rsidR="00E51710" w:rsidRPr="00BB0BE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8903" w14:textId="77777777" w:rsidR="000915D6" w:rsidRDefault="000915D6" w:rsidP="009D4EF5">
      <w:pPr>
        <w:spacing w:after="0" w:line="240" w:lineRule="auto"/>
      </w:pPr>
      <w:r>
        <w:separator/>
      </w:r>
    </w:p>
  </w:endnote>
  <w:endnote w:type="continuationSeparator" w:id="0">
    <w:p w14:paraId="6965797B" w14:textId="77777777" w:rsidR="000915D6" w:rsidRDefault="000915D6" w:rsidP="009D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458625"/>
      <w:docPartObj>
        <w:docPartGallery w:val="Page Numbers (Bottom of Page)"/>
        <w:docPartUnique/>
      </w:docPartObj>
    </w:sdtPr>
    <w:sdtContent>
      <w:p w14:paraId="6DD7BAA1" w14:textId="6EB188B9" w:rsidR="009D4EF5" w:rsidRDefault="009D4EF5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49ED664" w14:textId="77777777" w:rsidR="009D4EF5" w:rsidRDefault="009D4E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49A63" w14:textId="77777777" w:rsidR="000915D6" w:rsidRDefault="000915D6" w:rsidP="009D4EF5">
      <w:pPr>
        <w:spacing w:after="0" w:line="240" w:lineRule="auto"/>
      </w:pPr>
      <w:r>
        <w:separator/>
      </w:r>
    </w:p>
  </w:footnote>
  <w:footnote w:type="continuationSeparator" w:id="0">
    <w:p w14:paraId="1CB135FE" w14:textId="77777777" w:rsidR="000915D6" w:rsidRDefault="000915D6" w:rsidP="009D4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E8C"/>
    <w:multiLevelType w:val="hybridMultilevel"/>
    <w:tmpl w:val="4726DC30"/>
    <w:lvl w:ilvl="0" w:tplc="F6A4AB0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4548A"/>
    <w:multiLevelType w:val="hybridMultilevel"/>
    <w:tmpl w:val="0B226F7A"/>
    <w:lvl w:ilvl="0" w:tplc="9D8C86F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F62CF"/>
    <w:multiLevelType w:val="hybridMultilevel"/>
    <w:tmpl w:val="819E33DC"/>
    <w:lvl w:ilvl="0" w:tplc="9D8C86F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127B8"/>
    <w:multiLevelType w:val="hybridMultilevel"/>
    <w:tmpl w:val="D2E8B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16A9"/>
    <w:multiLevelType w:val="hybridMultilevel"/>
    <w:tmpl w:val="DAB4E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224EB"/>
    <w:multiLevelType w:val="hybridMultilevel"/>
    <w:tmpl w:val="E50A3C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12DFE"/>
    <w:multiLevelType w:val="hybridMultilevel"/>
    <w:tmpl w:val="67721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05583"/>
    <w:multiLevelType w:val="hybridMultilevel"/>
    <w:tmpl w:val="42ECADBC"/>
    <w:lvl w:ilvl="0" w:tplc="9D8C86F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1102F"/>
    <w:multiLevelType w:val="hybridMultilevel"/>
    <w:tmpl w:val="0B7A88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61F55"/>
    <w:multiLevelType w:val="hybridMultilevel"/>
    <w:tmpl w:val="97981124"/>
    <w:lvl w:ilvl="0" w:tplc="DC6232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14B81"/>
    <w:multiLevelType w:val="hybridMultilevel"/>
    <w:tmpl w:val="3DB82234"/>
    <w:lvl w:ilvl="0" w:tplc="9D8C86F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96A2C"/>
    <w:multiLevelType w:val="hybridMultilevel"/>
    <w:tmpl w:val="EA263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A7855"/>
    <w:multiLevelType w:val="hybridMultilevel"/>
    <w:tmpl w:val="56AC55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F06FB"/>
    <w:multiLevelType w:val="hybridMultilevel"/>
    <w:tmpl w:val="A8C4F7D0"/>
    <w:lvl w:ilvl="0" w:tplc="9D8C86F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2652D"/>
    <w:multiLevelType w:val="hybridMultilevel"/>
    <w:tmpl w:val="1CF8D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B067B"/>
    <w:multiLevelType w:val="hybridMultilevel"/>
    <w:tmpl w:val="9094F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9568F"/>
    <w:multiLevelType w:val="hybridMultilevel"/>
    <w:tmpl w:val="CFF466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904015"/>
    <w:multiLevelType w:val="hybridMultilevel"/>
    <w:tmpl w:val="2BB87A58"/>
    <w:lvl w:ilvl="0" w:tplc="9D8C86F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3220339">
    <w:abstractNumId w:val="3"/>
  </w:num>
  <w:num w:numId="2" w16cid:durableId="1133331982">
    <w:abstractNumId w:val="12"/>
  </w:num>
  <w:num w:numId="3" w16cid:durableId="443547855">
    <w:abstractNumId w:val="6"/>
  </w:num>
  <w:num w:numId="4" w16cid:durableId="772360549">
    <w:abstractNumId w:val="0"/>
  </w:num>
  <w:num w:numId="5" w16cid:durableId="2024741024">
    <w:abstractNumId w:val="16"/>
  </w:num>
  <w:num w:numId="6" w16cid:durableId="1028414602">
    <w:abstractNumId w:val="15"/>
  </w:num>
  <w:num w:numId="7" w16cid:durableId="1264611234">
    <w:abstractNumId w:val="9"/>
  </w:num>
  <w:num w:numId="8" w16cid:durableId="2089620468">
    <w:abstractNumId w:val="8"/>
  </w:num>
  <w:num w:numId="9" w16cid:durableId="1966885410">
    <w:abstractNumId w:val="7"/>
  </w:num>
  <w:num w:numId="10" w16cid:durableId="1526671707">
    <w:abstractNumId w:val="2"/>
  </w:num>
  <w:num w:numId="11" w16cid:durableId="415638289">
    <w:abstractNumId w:val="4"/>
  </w:num>
  <w:num w:numId="12" w16cid:durableId="1821771740">
    <w:abstractNumId w:val="11"/>
  </w:num>
  <w:num w:numId="13" w16cid:durableId="1011375218">
    <w:abstractNumId w:val="13"/>
  </w:num>
  <w:num w:numId="14" w16cid:durableId="1221937466">
    <w:abstractNumId w:val="17"/>
  </w:num>
  <w:num w:numId="15" w16cid:durableId="2020548496">
    <w:abstractNumId w:val="1"/>
  </w:num>
  <w:num w:numId="16" w16cid:durableId="1572689265">
    <w:abstractNumId w:val="10"/>
  </w:num>
  <w:num w:numId="17" w16cid:durableId="699286672">
    <w:abstractNumId w:val="14"/>
  </w:num>
  <w:num w:numId="18" w16cid:durableId="859589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EC"/>
    <w:rsid w:val="000915D6"/>
    <w:rsid w:val="001E548A"/>
    <w:rsid w:val="00233AAB"/>
    <w:rsid w:val="00270F76"/>
    <w:rsid w:val="00292784"/>
    <w:rsid w:val="0032132A"/>
    <w:rsid w:val="003566A8"/>
    <w:rsid w:val="003D2038"/>
    <w:rsid w:val="00412C39"/>
    <w:rsid w:val="00506B70"/>
    <w:rsid w:val="0056416E"/>
    <w:rsid w:val="00601B63"/>
    <w:rsid w:val="006100A2"/>
    <w:rsid w:val="00684EA0"/>
    <w:rsid w:val="006A55EC"/>
    <w:rsid w:val="008737AD"/>
    <w:rsid w:val="008A6BF3"/>
    <w:rsid w:val="009834EF"/>
    <w:rsid w:val="009A711F"/>
    <w:rsid w:val="009D4EF5"/>
    <w:rsid w:val="00A24092"/>
    <w:rsid w:val="00A727B4"/>
    <w:rsid w:val="00A87DE2"/>
    <w:rsid w:val="00B210B9"/>
    <w:rsid w:val="00BB0BEB"/>
    <w:rsid w:val="00C41DBD"/>
    <w:rsid w:val="00C50BF5"/>
    <w:rsid w:val="00D07B15"/>
    <w:rsid w:val="00D25931"/>
    <w:rsid w:val="00E51710"/>
    <w:rsid w:val="00EC1D0D"/>
    <w:rsid w:val="00F3084A"/>
    <w:rsid w:val="00F9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B02C1"/>
  <w14:defaultImageDpi w14:val="32767"/>
  <w15:chartTrackingRefBased/>
  <w15:docId w15:val="{55917D22-4720-476D-8F8C-F2B4F1C8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5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5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5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5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5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5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5E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5E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5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5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5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5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5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5E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5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5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5EC"/>
    <w:rPr>
      <w:b/>
      <w:bCs/>
      <w:smallCaps/>
      <w:color w:val="2F5496" w:themeColor="accent1" w:themeShade="BF"/>
      <w:spacing w:val="5"/>
    </w:rPr>
  </w:style>
  <w:style w:type="paragraph" w:styleId="TDC2">
    <w:name w:val="toc 2"/>
    <w:basedOn w:val="Normal"/>
    <w:next w:val="Normal"/>
    <w:autoRedefine/>
    <w:uiPriority w:val="39"/>
    <w:unhideWhenUsed/>
    <w:rsid w:val="00233AAB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233AA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D4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4EF5"/>
  </w:style>
  <w:style w:type="paragraph" w:styleId="Piedepgina">
    <w:name w:val="footer"/>
    <w:basedOn w:val="Normal"/>
    <w:link w:val="PiedepginaCar"/>
    <w:uiPriority w:val="99"/>
    <w:unhideWhenUsed/>
    <w:rsid w:val="009D4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4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96E3-D46A-44CC-9074-6A03CED9F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749</Words>
  <Characters>4125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Estructura y Objeto del Real Decreto</vt:lpstr>
      <vt:lpstr>    Principios Generales (Art. 2)</vt:lpstr>
      <vt:lpstr>    Identificación y Autenticación (Capítulo II)</vt:lpstr>
      <vt:lpstr>    Instrumentos para el Ciudadano</vt:lpstr>
      <vt:lpstr>    Transferencia y Reutilización (Título IV)</vt:lpstr>
      <vt:lpstr>    Disposiciones Adicionales</vt:lpstr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12</cp:revision>
  <cp:lastPrinted>2026-02-09T21:02:00Z</cp:lastPrinted>
  <dcterms:created xsi:type="dcterms:W3CDTF">2026-02-09T20:41:00Z</dcterms:created>
  <dcterms:modified xsi:type="dcterms:W3CDTF">2026-02-09T21:20:00Z</dcterms:modified>
</cp:coreProperties>
</file>