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hd w:fill="auto" w:val="clear"/>
        <w:spacing w:after="0" w:before="480" w:line="36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Aplicações de redes de proteínas na bioinformática: revisão bibliográfica.</w:t>
      </w:r>
    </w:p>
    <w:p w:rsidR="00000000" w:rsidDel="00000000" w:rsidP="00000000" w:rsidRDefault="00000000" w:rsidRPr="00000000" w14:paraId="00000002">
      <w:pPr>
        <w:keepNext w:val="0"/>
        <w:keepLines w:val="0"/>
        <w:pageBreakBefore w:val="0"/>
        <w:widowControl w:val="1"/>
        <w:shd w:fill="auto" w:val="clear"/>
        <w:spacing w:after="0" w:before="0" w:line="36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Ana Julia Lins Silva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SC: 3050661</w:t>
      </w:r>
    </w:p>
    <w:p w:rsidR="00000000" w:rsidDel="00000000" w:rsidP="00000000" w:rsidRDefault="00000000" w:rsidRPr="00000000" w14:paraId="00000003">
      <w:pPr>
        <w:keepNext w:val="0"/>
        <w:keepLines w:val="0"/>
        <w:pageBreakBefore w:val="0"/>
        <w:widowControl w:val="1"/>
        <w:shd w:fill="auto" w:val="clear"/>
        <w:spacing w:after="0" w:before="0" w:line="36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Isabela Mendes de Jesus     </w:t>
      </w:r>
      <w:r w:rsidDel="00000000" w:rsidR="00000000" w:rsidRPr="00000000">
        <w:rPr>
          <w:rFonts w:ascii="Arial" w:cs="Arial" w:eastAsia="Arial" w:hAnsi="Arial"/>
          <w:sz w:val="22"/>
          <w:szCs w:val="22"/>
          <w:rtl w:val="0"/>
        </w:rPr>
        <w:t xml:space="preserve">SC: 3052168</w:t>
      </w:r>
    </w:p>
    <w:p w:rsidR="00000000" w:rsidDel="00000000" w:rsidP="00000000" w:rsidRDefault="00000000" w:rsidRPr="00000000" w14:paraId="00000004">
      <w:pPr>
        <w:keepNext w:val="0"/>
        <w:keepLines w:val="0"/>
        <w:pageBreakBefore w:val="0"/>
        <w:widowControl w:val="1"/>
        <w:shd w:fill="auto" w:val="clear"/>
        <w:spacing w:after="0" w:before="0" w:line="360" w:lineRule="auto"/>
        <w:ind w:left="0" w:right="0" w:firstLine="0"/>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shd w:fill="auto" w:val="clear"/>
        <w:spacing w:after="0" w:before="0" w:line="360"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120" w:before="0" w:line="240" w:lineRule="auto"/>
        <w:ind w:left="0" w:right="0" w:firstLine="0"/>
        <w:jc w:val="both"/>
        <w:rPr>
          <w:i w:val="1"/>
          <w:iCs w:val="1"/>
          <w:sz w:val="24"/>
          <w:szCs w:val="24"/>
        </w:rPr>
      </w:pPr>
      <w:r w:rsidDel="00000000" w:rsidR="00000000" w:rsidRPr="00000000">
        <w:rPr>
          <w:i w:val="1"/>
          <w:iCs w:val="1"/>
          <w:sz w:val="24"/>
          <w:szCs w:val="24"/>
          <w:rtl w:val="0"/>
        </w:rPr>
        <w:t xml:space="preserve">As redes de interação proteína-proteína (PPI) constituem uma abordagem fundamental para a análise de sistemas biológicos complexos na bioinformática. Este trabalho tem como objetivo revisar e integrar as principais aplicações dessas redes, com base em pesquisa bibliográfica recente. As aplicações foram organizadas em quatro áreas centrais: descoberta de mecanismos biológicos, redes de proteínas associadas a  doenças, descoberta e reposicionamento de fármacos e, por último, integração multiômica. Apesar dos avanços das redes de interação proteína-proteína e no desenvolvimento de métodos computacionais, ainda persistem desafios significativos relacionados à qualidade e integração dos dados, o que compromete a realização de análises biológicas mais precisas. Diante disso, destaca-se a necessidade do desenvolvimento de  métodos mais robustos para a produção de resultados mais consistentes e interpretáveis biologicamente.</w:t>
      </w:r>
    </w:p>
    <w:p w:rsidR="00000000" w:rsidDel="00000000" w:rsidP="00000000" w:rsidRDefault="00000000" w:rsidRPr="00000000" w14:paraId="00000007">
      <w:pPr>
        <w:keepNext w:val="1"/>
        <w:keepLines w:val="0"/>
        <w:pageBreakBefore w:val="0"/>
        <w:widowControl w:val="1"/>
        <w:numPr>
          <w:ilvl w:val="0"/>
          <w:numId w:val="1"/>
        </w:numPr>
        <w:shd w:fill="auto" w:val="clear"/>
        <w:spacing w:after="360" w:before="480" w:line="240" w:lineRule="auto"/>
        <w:ind w:left="340" w:right="0" w:hanging="3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08">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aplicação de redes proteicas permite estudar as células como um sistema complexo, a partir de módulos funcionais. (SEVIMOGLU; ARGA, 2014 )</w:t>
      </w:r>
    </w:p>
    <w:p w:rsidR="00000000" w:rsidDel="00000000" w:rsidP="00000000" w:rsidRDefault="00000000" w:rsidRPr="00000000" w14:paraId="00000009">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Essas redes tornaram-se fundamentais nos últimos anos, à medida que os estudos de sistemas biológicos deixaram de considerar as proteínas como atuantes isoladas e passaram a ser vistas como sistemas baseados em redes, com a capacidade de representar as interações celulares de forma complexa (SEVIMOGLU; ARGA, 2014; KUZMANOV; EMILI, 2013 ). </w:t>
      </w:r>
    </w:p>
    <w:p w:rsidR="00000000" w:rsidDel="00000000" w:rsidP="00000000" w:rsidRDefault="00000000" w:rsidRPr="00000000" w14:paraId="0000000A">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analisar as aplicações das redes de proteína, é possível perceber que uma das mais relevantes é a descoberta de mecanismos biológicos. Isso porque as proteínas têm a tendência a se ligar a outras que desempenham funções parecidas. A partir disso, é possível identificar grupos de proteínas com funções semelhantes, que são conhecidos como módulos funcionais, além de ser possível prever a função de proteínas que ainda não tiveram características atribuídas por conta desse agrupamento e fazer a análise integrativa de vias metabólicas (DITTRICH et al., 2008 ; JEONG; QIAN; YOON, 2016 ). </w:t>
      </w:r>
    </w:p>
    <w:p w:rsidR="00000000" w:rsidDel="00000000" w:rsidP="00000000" w:rsidRDefault="00000000" w:rsidRPr="00000000" w14:paraId="0000000C">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os modelos considerados tradicionais , que focavam somente em genes isolados, tornaram-se limitantes pelo crescimento de dados ômicos. Isso impulsionou o uso de redes como ferramenta importante na bioinformática. Dessa forma, a integração multiômica permite a reunião de dados de diferentes níveis, como a genômica, transcriptômica e proteômica, em uma única abordagem. Isso torna possível a construção de redes mais representativas, incluindo redes específicas para diferentes tecidos e redes dinâmicas, que mostram como as interações mudam ao longo do tempo ou em diferentes condições (HASIN et al., 2017; LEE; HYEON; HWANG, 2020 ).</w:t>
      </w:r>
    </w:p>
    <w:p w:rsidR="00000000" w:rsidDel="00000000" w:rsidP="00000000" w:rsidRDefault="00000000" w:rsidRPr="00000000" w14:paraId="0000000D">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do avanço nos estudos, ainda existe uma lacuna no desenvolvimento de sistemas capazes de lidar com a inconsistência e diferentes fontes dos dados biológicos e ainda sim apresentar eficácia, com resultados que vão além de previsões algorítmicas, e que expliquem mecanismos biológicos reais. </w:t>
      </w:r>
    </w:p>
    <w:p w:rsidR="00000000" w:rsidDel="00000000" w:rsidP="00000000" w:rsidRDefault="00000000" w:rsidRPr="00000000" w14:paraId="0000000F">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aplicações dessas redes que serão abordadas ao longo do artigo incluem a análise de mecanismos biológicos, o estudo de redes de proteínas associadas a doenças, a descoberta de fármacos e a integração com dados multiômicos. </w:t>
      </w:r>
    </w:p>
    <w:p w:rsidR="00000000" w:rsidDel="00000000" w:rsidP="00000000" w:rsidRDefault="00000000" w:rsidRPr="00000000" w14:paraId="00000011">
      <w:pPr>
        <w:keepNext w:val="1"/>
        <w:keepLines w:val="0"/>
        <w:pageBreakBefore w:val="0"/>
        <w:widowControl w:val="1"/>
        <w:numPr>
          <w:ilvl w:val="0"/>
          <w:numId w:val="1"/>
        </w:numPr>
        <w:shd w:fill="auto" w:val="clear"/>
        <w:spacing w:after="360" w:before="480" w:line="240" w:lineRule="auto"/>
        <w:ind w:left="340" w:right="0" w:hanging="3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Des</w:t>
      </w:r>
      <w:r w:rsidDel="00000000" w:rsidR="00000000" w:rsidRPr="00000000">
        <w:rPr>
          <w:b w:val="1"/>
          <w:bCs w:val="1"/>
          <w:sz w:val="28"/>
          <w:szCs w:val="28"/>
          <w:rtl w:val="0"/>
        </w:rPr>
        <w:t xml:space="preserve">coberta de mecanismos biológicos</w:t>
      </w:r>
    </w:p>
    <w:p w:rsidR="00000000" w:rsidDel="00000000" w:rsidP="00000000" w:rsidRDefault="00000000" w:rsidRPr="00000000" w14:paraId="00000012">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redes de interação proteína-proteína (PPI) estão cada vez mais importantes para a bioinformática na compreensão dos mecanismos biológicos complexos, já que as proteínas se organizam em grupos ao invés de atuarem de forma isolada. Nesse contexto, as redes PPI permitem identificar relações funcionais entre proteínas, vias biológicas e módulos com funções específicas (SEVIMOGLU; ARGA, 2014 ).</w:t>
      </w:r>
    </w:p>
    <w:p w:rsidR="00000000" w:rsidDel="00000000" w:rsidP="00000000" w:rsidRDefault="00000000" w:rsidRPr="00000000" w14:paraId="00000013">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possível identificar agrupamentos, também conhecidos como módulos funcionais, com base na interação das proteínas. A partir da estrutura da rede é possível detectar regiões funcionalmente organizadas e, também, é possível prever funções de proteínas que ainda não foram caracterizadas com base nas conexões de proteínas já conhecidas.  Essas regiões contribuem para a compreensão de mecanismos celulares, vias metabólicas e complexos moleculares (DITTRICH et al., 2008 ; JEONG; QIAN; YOON, 2016  ). O mapeamento das redes de proteína em diferentes organismos e seu armazenamento em bancos públicos, só se tornou possível pelo avanço das tecnologias e da quantidade de dados biológicos. Mas, para gerar conhecimento biológico relevante, é necessário desenvolver métodos computacionais capazes de interpretar a organização estrutural dessas redes e identificar padrões biologicamente significativos (JEONG; QIAN; YOON, 2016) .</w:t>
      </w:r>
    </w:p>
    <w:p w:rsidR="00000000" w:rsidDel="00000000" w:rsidP="00000000" w:rsidRDefault="00000000" w:rsidRPr="00000000" w14:paraId="00000015">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de padrões recorrentes de interação, também chamados de sub-redes ou motivos de redes, permite identificar conjuntos de interações que aparecem mais vezes do que só ao acaso. Esses padrões podem estar associados à formação de complexos moleculares, vias de sinalização e processos regulatórios celulares (TURANALP; CAN, 2008). Anotações funcionais são informações adicionadas a genes, proteínas ou outras moléculas para descrever suas funções. Essas anotações são essenciais para a identificação de padrões, pois é por meio delas que é possível visualizar os agrupamentos e suas organizações e, a partir disso, aplicar essas informações a outros contextos celulares. (TURANALP; CAN, 2008) .</w:t>
      </w:r>
    </w:p>
    <w:p w:rsidR="00000000" w:rsidDel="00000000" w:rsidP="00000000" w:rsidRDefault="00000000" w:rsidRPr="00000000" w14:paraId="00000017">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seja feita uma interpretação dos dados biológicos com qualidade, é necessário que os dados também tenham boa qualidade e que sejam integrados. Isso ocorre porque, como são vários bancos de dados, pode haver informações redundantes, incompletas ou contendo informações falsas. A partir disso, é necessário modelos de rede mais robustos e confiáveis para reduzir a quantidade de ruídos e garantir uma análise mais consistente dos módulos funcionais e mecanismos celulares. Um exemplo que têm sido utilizado para essa finalidade é a abordagem k-votes (MARTHA et al., 2011). </w:t>
      </w:r>
    </w:p>
    <w:p w:rsidR="00000000" w:rsidDel="00000000" w:rsidP="00000000" w:rsidRDefault="00000000" w:rsidRPr="00000000" w14:paraId="00000019">
      <w:pPr>
        <w:keepNext w:val="1"/>
        <w:keepLines w:val="0"/>
        <w:pageBreakBefore w:val="0"/>
        <w:widowControl w:val="1"/>
        <w:numPr>
          <w:ilvl w:val="0"/>
          <w:numId w:val="1"/>
        </w:numPr>
        <w:shd w:fill="auto" w:val="clear"/>
        <w:spacing w:after="360" w:before="480" w:line="240" w:lineRule="auto"/>
        <w:ind w:left="340" w:right="0" w:hanging="340"/>
        <w:jc w:val="left"/>
        <w:rPr>
          <w:b w:val="1"/>
          <w:bCs w:val="1"/>
          <w:sz w:val="28"/>
          <w:szCs w:val="28"/>
          <w:u w:val="none"/>
        </w:rPr>
      </w:pPr>
      <w:r w:rsidDel="00000000" w:rsidR="00000000" w:rsidRPr="00000000">
        <w:rPr>
          <w:b w:val="1"/>
          <w:bCs w:val="1"/>
          <w:sz w:val="28"/>
          <w:szCs w:val="28"/>
          <w:rtl w:val="0"/>
        </w:rPr>
        <w:t xml:space="preserve">Descoberta e reposicionamento de fármacos</w:t>
      </w:r>
    </w:p>
    <w:p w:rsidR="00000000" w:rsidDel="00000000" w:rsidP="00000000" w:rsidRDefault="00000000" w:rsidRPr="00000000" w14:paraId="0000001A">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 o custo de pesquisa e desenvolvimento de uma nova entidade química ultrapassa US$ 2,5 bilhões , com prazos que chegam até 17 anos e 90% de taxa de falha durante os ensaios clínicos, o reposicionamento de fármacos se destaca como uma estratégia para identificar novos usos terapêuticos para medicamentos já existentes, com base em compostos que já atingiram sucesso na fase de ensaio clínico além de ser a única abordagem viável  para obter opções terapêuticas acessíveis na maioria dos casos (AL KHZEM; WALI, 2025). </w:t>
      </w:r>
    </w:p>
    <w:p w:rsidR="00000000" w:rsidDel="00000000" w:rsidP="00000000" w:rsidRDefault="00000000" w:rsidRPr="00000000" w14:paraId="0000001B">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o avanço da química medicinal, das ciências ômicas e da mineração de dados, grandes bases de dados como DrugBank, Protein Data Bank e ChEMBL passaram a fornecer informações valiosas para a descoberta de novos medicamentos. Nesse contexto, a integração de múltiplas abordagens computacionais permite superar limitações de métodos individuais. Abordagens baseadas em ligantes partem da ideia que compostos similares levam a indícios de similaridade nas atividades biológicas, ampliando a capacidade de avaliar quantitativamente a similaridade de compostos em relação a moléculas com atividades biológicas conhecidas  . Essa abordagem permite a triagem de grandes bancos para identificar possíveis fármacos, porém pequenas diferenças estruturais entre moléculas limitam a precisão e resultam em atividades biológicas muito distintas. </w:t>
      </w:r>
    </w:p>
    <w:p w:rsidR="00000000" w:rsidDel="00000000" w:rsidP="00000000" w:rsidRDefault="00000000" w:rsidRPr="00000000" w14:paraId="0000001D">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Ademais, abordagens e aprendizado de máquina (ML)  são de extrema importância devido a capacidade de minerar com eficiência  um grande volume de dados e ainda sim apresentar previsões não óbvias, utilizando métodos supervisionados e não supervisionados para prever associações entre medicamentos e doenças.</w:t>
      </w:r>
    </w:p>
    <w:p w:rsidR="00000000" w:rsidDel="00000000" w:rsidP="00000000" w:rsidRDefault="00000000" w:rsidRPr="00000000" w14:paraId="0000001E">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diversos fármacos já existentes têm demonstrado potencial para novas aplicações terapêuticas. O ritonavir, originalmente desenvolvido  para a terapia antirretroviral contra o HIV, apresentou propriedades anticancerígenas quando incorporado em terapias antineoplásicas em estudos envolvendo câncer de mama, ovário e pâncreas (PEREIRA et al., 2024). Assim como o fenofibrato, utilizado no tratamento da hiperlipidemia, apresentou atividade anti tumoral no câncer de pulmão, ampliando suas possibilidades de uso terapêutico (AL KHZEM; WALI, 2025).</w:t>
      </w:r>
    </w:p>
    <w:p w:rsidR="00000000" w:rsidDel="00000000" w:rsidP="00000000" w:rsidRDefault="00000000" w:rsidRPr="00000000" w14:paraId="0000001F">
      <w:pPr>
        <w:keepNext w:val="1"/>
        <w:keepLines w:val="0"/>
        <w:pageBreakBefore w:val="0"/>
        <w:widowControl w:val="1"/>
        <w:numPr>
          <w:ilvl w:val="0"/>
          <w:numId w:val="1"/>
        </w:numPr>
        <w:shd w:fill="auto" w:val="clear"/>
        <w:spacing w:after="360" w:before="480" w:line="240" w:lineRule="auto"/>
        <w:ind w:left="340" w:right="0" w:hanging="340"/>
        <w:jc w:val="left"/>
        <w:rPr>
          <w:b w:val="1"/>
          <w:bCs w:val="1"/>
          <w:sz w:val="28"/>
          <w:szCs w:val="28"/>
          <w:u w:val="none"/>
        </w:rPr>
      </w:pPr>
      <w:r w:rsidDel="00000000" w:rsidR="00000000" w:rsidRPr="00000000">
        <w:rPr>
          <w:b w:val="1"/>
          <w:bCs w:val="1"/>
          <w:sz w:val="28"/>
          <w:szCs w:val="28"/>
          <w:rtl w:val="0"/>
        </w:rPr>
        <w:t xml:space="preserve">Redes de proteínas e doenças</w:t>
      </w:r>
    </w:p>
    <w:p w:rsidR="00000000" w:rsidDel="00000000" w:rsidP="00000000" w:rsidRDefault="00000000" w:rsidRPr="00000000" w14:paraId="00000020">
      <w:pPr>
        <w:keepNext w:val="1"/>
        <w:spacing w:after="360" w:before="480" w:line="360" w:lineRule="auto"/>
        <w:ind w:left="3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redes de interação proteína-proteína (PPI) têm se tornado cada vez mais importantes na bioinformática para a compreensão de mecanismos biológicos complexos, uma vez que não se organizam de forma isolada. Nesse contexto, Kuzmanov e Emili (2013) destacam  que os mecanismos moleculares são frequentemente perturbados por estresses ambientais e patológicos, resultando em alterações da homeostase celular. Os autores apontam padrões específicos em PPI em doenças, possibilitando o desenvolvimento de terapias direcionadas para a progressão de doenças,  a definição de biomarcadores responsivos e a obtenção de diagnósticos ou prognósticos avançados em doenças comuns a partir dos resultados do quadro clínico do paciente. Dado o contexto de doenças humanas, é examinado a aplicação de análise experimentais baseadas em espectrometria de massa em sistemas que exploram redes heterogêneas de PPI e complexos proteicos, contribuindo para a compreensão dos mecanismos moleculares de doenças. Entretanto, sistemas modelos podem não representar inteiramente a complexidade das condições fisiopatológicas humanas, restringindo a aplicação direta dos resultados em contextos clínicos (KUZMANOV; EMILI, 2013).</w:t>
      </w:r>
    </w:p>
    <w:p w:rsidR="00000000" w:rsidDel="00000000" w:rsidP="00000000" w:rsidRDefault="00000000" w:rsidRPr="00000000" w14:paraId="00000021">
      <w:pPr>
        <w:keepNext w:val="1"/>
        <w:spacing w:after="360" w:before="480" w:line="360" w:lineRule="auto"/>
        <w:ind w:left="3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Estudos de associação genômica ampla (GWAS) têm sido uma importante fonte de análise para compreender a base genética de fenótipos complexos por meio da identificação de variantes genéticas associadas. Os autores observam uma carência nos bancos GWAS em relação a doenças específicas e fenótipos complexos, argumentando que considerar individualmente os genes relacionados a doenças não explica por completo mecanismos moleculares ocultos em fisiologia patológica. A fim de contornar tal limitação, foi implementado o banco phenotype-specific GWAS meta-database, integrando dados do  Catálogo GWAS, literatura científica, Ensembl e GTEx(TSARE et al., 2024). A partir desse banco e da rede PPI PICKLE, foi reconstruída uma rede que conecta proteínas associadas a GWAS, priorizadas por critérios de pontuação e conectividade. Como resultado, obtiveram 6687 variantes genéticas associadas à pressão arterial, relacionadas a 1167 genes codificadores de proteínas. A rede de PPI reconstruída continha 1065 proteínas, das quais 672 estavam conectadas entre si, além de 1443 proteínas indiretamente relacionadas ao fenótipo por até dois níveis de interação.  A análise destacou proteínas importantes como INSR, NOS3 e ATP2B1, embora a  metodologia assuma que as proteínas mais conectadas são as mais relevantes biologicamente, o que nem sempre ocorre (TSARE et al., 2024).</w:t>
      </w:r>
    </w:p>
    <w:p w:rsidR="00000000" w:rsidDel="00000000" w:rsidP="00000000" w:rsidRDefault="00000000" w:rsidRPr="00000000" w14:paraId="00000022">
      <w:pPr>
        <w:keepNext w:val="1"/>
        <w:spacing w:after="360" w:before="480" w:line="360" w:lineRule="auto"/>
        <w:ind w:left="340" w:firstLine="0"/>
        <w:jc w:val="both"/>
        <w:rPr>
          <w:b w:val="1"/>
          <w:bCs w:val="1"/>
          <w:sz w:val="28"/>
          <w:szCs w:val="28"/>
        </w:rPr>
      </w:pPr>
      <w:r w:rsidDel="00000000" w:rsidR="00000000" w:rsidRPr="00000000">
        <w:rPr>
          <w:rFonts w:ascii="Arial" w:cs="Arial" w:eastAsia="Arial" w:hAnsi="Arial"/>
          <w:sz w:val="24"/>
          <w:szCs w:val="24"/>
          <w:rtl w:val="0"/>
        </w:rPr>
        <w:t xml:space="preserve">De forma complementar, a revisão comparativa topológica de redes PPI destaca que as PPINs surgem com os avanços dos métodos de larga escala para identificar a relação funcional entre genes. Apesar dos avanços na identificação de variações genéticas associadas a doenças, permanece o desafio de compreender funções biológicas complexas envolvendo milhares de interações. A pesquisa comparou bases de dados HINT, IntAct, Reactome e STRING, analisando métricas globais, sub-redes de câncer e a significância das interações. Como resultado, as PPINs apresentaram características globais semelhantes, diferindo principalmente no número, peso  e interseção de arestas e medidas associadas à vizinhança, reforçando a ideia de que os genes devem ser estudados como redes complexas de interação molecular. Ademais, observou-se que mutações diferentes no mesmo gene podem resultar em doenças diferentes, a depender da interface proteica afetada. Os autores preveem novos genes associados a doenças, tendo como base a conectividade da rede estrutural de proteínas (RAMOS et al., 2024).</w:t>
      </w:r>
      <w:r w:rsidDel="00000000" w:rsidR="00000000" w:rsidRPr="00000000">
        <w:rPr>
          <w:rtl w:val="0"/>
        </w:rPr>
      </w:r>
    </w:p>
    <w:p w:rsidR="00000000" w:rsidDel="00000000" w:rsidP="00000000" w:rsidRDefault="00000000" w:rsidRPr="00000000" w14:paraId="00000023">
      <w:pPr>
        <w:keepNext w:val="1"/>
        <w:keepLines w:val="0"/>
        <w:pageBreakBefore w:val="0"/>
        <w:widowControl w:val="1"/>
        <w:numPr>
          <w:ilvl w:val="0"/>
          <w:numId w:val="1"/>
        </w:numPr>
        <w:shd w:fill="auto" w:val="clear"/>
        <w:spacing w:after="360" w:before="480" w:line="240" w:lineRule="auto"/>
        <w:ind w:left="340" w:right="0" w:hanging="340"/>
        <w:jc w:val="left"/>
        <w:rPr>
          <w:b w:val="1"/>
          <w:bCs w:val="1"/>
          <w:sz w:val="28"/>
          <w:szCs w:val="28"/>
          <w:u w:val="none"/>
        </w:rPr>
      </w:pPr>
      <w:r w:rsidDel="00000000" w:rsidR="00000000" w:rsidRPr="00000000">
        <w:rPr>
          <w:b w:val="1"/>
          <w:bCs w:val="1"/>
          <w:sz w:val="28"/>
          <w:szCs w:val="28"/>
          <w:rtl w:val="0"/>
        </w:rPr>
        <w:t xml:space="preserve">Integração multiômica</w:t>
      </w:r>
    </w:p>
    <w:p w:rsidR="00000000" w:rsidDel="00000000" w:rsidP="00000000" w:rsidRDefault="00000000" w:rsidRPr="00000000" w14:paraId="00000024">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tecnologias de sequenciamento e análise molecular permitiram maior desenvolvimento das ciências ômicas e da biologia de sistemas. A partir disso, as redes de interação proteína-proteína permitiram relacionar os dados ômicos, os transcriptômicos e proteômicos em uma mesma estrutura de análise (HASIN et al., 2017). A análise isolada dos dados ômicos identifica apenas as associações entre moléculas ou processos biológicos. A partir do momento em que se junta integração multiômica com as redes PPI, é possível revelar mecanismos causais como alterações genéticas, modificações proteicas e processos celulares relacionados a progressão de doenças (HASIN et al., 2017). </w:t>
      </w:r>
    </w:p>
    <w:p w:rsidR="00000000" w:rsidDel="00000000" w:rsidP="00000000" w:rsidRDefault="00000000" w:rsidRPr="00000000" w14:paraId="00000025">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redes proteicas ajudam a integrar os diferentes tipos de dados biológicos, conectando informações genéticas, de expressão gênica e de função celular. Em estudos multiômicos, são integrados os seguintes dados: GWAS, análise de expressão gênica e redes PPI. Isso para relacionar variantes genéticas a alterações moleculares e identificar quais vias biológicas estão envolvidas em determinado fenótipo ou doença complexa. Essas redes permitem identificar genes e proteínas potencialmente importantes mesmo quando eles ainda não foram diretamente associados à doença. Isso ocorre porque genes que interagem com proteínas já relacionadas a determinada condição têm maior probabilidade de participar dos mesmos processos biológicos, princípio conhecido como “culpa por associação” (TSARE; KLAPA; MOSCHONAS, 2024 ). </w:t>
      </w:r>
    </w:p>
    <w:p w:rsidR="00000000" w:rsidDel="00000000" w:rsidP="00000000" w:rsidRDefault="00000000" w:rsidRPr="00000000" w14:paraId="00000027">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Proteínas altamente conectadas ou localizadas em regiões centrais da rede podem atuar como importantes reguladores celulares ou potenciais alvos terapêuticos. Esse tipo de abordagem tem sido utilizado para compreender doenças complexas e identificar vias moleculares associadas a fenótipos específicos </w:t>
      </w:r>
      <w:r w:rsidDel="00000000" w:rsidR="00000000" w:rsidRPr="00000000">
        <w:rPr>
          <w:rFonts w:ascii="Arial" w:cs="Arial" w:eastAsia="Arial" w:hAnsi="Arial"/>
          <w:sz w:val="22"/>
          <w:szCs w:val="22"/>
          <w:rtl w:val="0"/>
        </w:rPr>
        <w:t xml:space="preserve">(TSARE et al., 2024)</w:t>
      </w:r>
      <w:r w:rsidDel="00000000" w:rsidR="00000000" w:rsidRPr="00000000">
        <w:rPr>
          <w:rFonts w:ascii="Arial" w:cs="Arial" w:eastAsia="Arial" w:hAnsi="Arial"/>
          <w:sz w:val="24"/>
          <w:szCs w:val="24"/>
          <w:rtl w:val="0"/>
        </w:rPr>
        <w:t xml:space="preserve">. O desenvolvimento das tecnologias de análise em célula única permitiram medir ao mesmo tempo diferentes tipos de moléculas, o que possibilitou identificar subpopulações celulares específicas e compreender alterações dinâmicas em sistemas biológicos complexos (LEE; HYEON; HWANG, 2020). Isso permite refinar a interpretação de variantes genéticas e compreender mecanismos regulatórios que são associados à expressão gênica e ao estado funcional celular. Além disso, a combinação entre transcriptoma, epigenoma e proteoma permite investigar como alterações genéticas e epigenéticas influenciam processos celulares específicos, favorecendo a identificação de novos biomarcadores e possíveis alvos terapêuticos (LEE; HYEON; HWANG, 2020).</w:t>
      </w:r>
    </w:p>
    <w:p w:rsidR="00000000" w:rsidDel="00000000" w:rsidP="00000000" w:rsidRDefault="00000000" w:rsidRPr="00000000" w14:paraId="00000029">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line="360" w:lineRule="auto"/>
        <w:ind w:left="720" w:firstLine="0"/>
        <w:jc w:val="both"/>
        <w:rPr>
          <w:b w:val="1"/>
          <w:bCs w:val="1"/>
          <w:sz w:val="24"/>
          <w:szCs w:val="24"/>
        </w:rPr>
      </w:pPr>
      <w:r w:rsidDel="00000000" w:rsidR="00000000" w:rsidRPr="00000000">
        <w:rPr>
          <w:rFonts w:ascii="Arial" w:cs="Arial" w:eastAsia="Arial" w:hAnsi="Arial"/>
          <w:sz w:val="24"/>
          <w:szCs w:val="24"/>
          <w:rtl w:val="0"/>
        </w:rPr>
        <w:t xml:space="preserve">Apesar dos avanços que ocorreram na área da integração multiômica, há ainda alguns desafios como: heterogeneidade biológica, presença de ruídos experimentais e diferenças de qualidade entre os diferentes conjuntos de dados. Além disso, a baixa correspondência direta entre níveis moleculares, como RNA e proteína, dificulta a construção de modelos biológicos mais precisos (HASIN et al., 2017; LEE; HYEON; HWANG, 2020 ) .</w:t>
      </w:r>
      <w:r w:rsidDel="00000000" w:rsidR="00000000" w:rsidRPr="00000000">
        <w:rPr>
          <w:rtl w:val="0"/>
        </w:rPr>
      </w:r>
    </w:p>
    <w:p w:rsidR="00000000" w:rsidDel="00000000" w:rsidP="00000000" w:rsidRDefault="00000000" w:rsidRPr="00000000" w14:paraId="0000002B">
      <w:pPr>
        <w:keepNext w:val="1"/>
        <w:keepLines w:val="0"/>
        <w:pageBreakBefore w:val="0"/>
        <w:widowControl w:val="1"/>
        <w:numPr>
          <w:ilvl w:val="0"/>
          <w:numId w:val="1"/>
        </w:numPr>
        <w:shd w:fill="auto" w:val="clear"/>
        <w:spacing w:after="360" w:before="480" w:line="240" w:lineRule="auto"/>
        <w:ind w:left="340" w:right="0" w:hanging="34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Conclusão</w:t>
      </w:r>
    </w:p>
    <w:p w:rsidR="00000000" w:rsidDel="00000000" w:rsidP="00000000" w:rsidRDefault="00000000" w:rsidRPr="00000000" w14:paraId="0000002C">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redes de interação proteína-proteína marcaram uma mudança na forma de compreender os sistemas biológicos, permitindo que proteínas deixassem de ser estudadas isoladamente para serem compreendidas como redes complexas de interação. Sua aplicação não se limita à representação das interações entre moléculas, mas também identificar os mecanismos biológicos, compreender doenças, descobrir e reposicionar fármacos e gerar integração multiômica. As redes PPI permitem identificar módulos funcionais, prever as funções de proteínas que ainda não foram caracterizadas usando as redes e revelar vias moleculares associadas a doenças. Essas informações permitem gerar hipóteses biológicas, identificar biomarcadores e priorizar potenciais alvos terapêuticos.</w:t>
      </w:r>
    </w:p>
    <w:p w:rsidR="00000000" w:rsidDel="00000000" w:rsidP="00000000" w:rsidRDefault="00000000" w:rsidRPr="00000000" w14:paraId="0000002D">
      <w:pPr>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Apesar do avanço na metodologia de redes de integração de proteína, ainda existem muitos desafios relacionados à qualidade, heterogeneidade e integração das informações propostas por diferentes bancos de dados. As informações ficam comprometidas quando há a presença de ruídos e dados inconsistentes, afetando a solidez dos resultados. Para atingir maior desenvolvimento na  bioinformática, é preciso avançar nas redes de PPI e no desenvolvimento de métodos computacionais mais robustos, interpretáveis e capazes de integrar, de forma eficiente, as múltiplas fontes de dados.</w:t>
      </w:r>
    </w:p>
    <w:p w:rsidR="00000000" w:rsidDel="00000000" w:rsidP="00000000" w:rsidRDefault="00000000" w:rsidRPr="00000000" w14:paraId="0000002F">
      <w:pPr>
        <w:keepNext w:val="1"/>
        <w:keepLines w:val="0"/>
        <w:pageBreakBefore w:val="0"/>
        <w:widowControl w:val="1"/>
        <w:numPr>
          <w:ilvl w:val="0"/>
          <w:numId w:val="1"/>
        </w:numPr>
        <w:shd w:fill="auto" w:val="clear"/>
        <w:spacing w:after="360" w:before="480" w:line="240" w:lineRule="auto"/>
        <w:ind w:left="340" w:right="0" w:hanging="340"/>
        <w:jc w:val="left"/>
        <w:rPr>
          <w:b w:val="1"/>
          <w:bCs w:val="1"/>
          <w:sz w:val="28"/>
          <w:szCs w:val="28"/>
          <w:u w:val="none"/>
        </w:rPr>
      </w:pPr>
      <w:r w:rsidDel="00000000" w:rsidR="00000000" w:rsidRPr="00000000">
        <w:rPr>
          <w:b w:val="1"/>
          <w:bCs w:val="1"/>
          <w:sz w:val="28"/>
          <w:szCs w:val="28"/>
          <w:rtl w:val="0"/>
        </w:rPr>
        <w:t xml:space="preserve">Referências bibliográficas</w:t>
      </w:r>
    </w:p>
    <w:p w:rsidR="00000000" w:rsidDel="00000000" w:rsidP="00000000" w:rsidRDefault="00000000" w:rsidRPr="00000000" w14:paraId="0000003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KHZEM, A. H.; WALI, S. M. Drug repurposing as an effective drug discovery strategy: a critical review. Drug Design, Development and Therapy, v. 19, p. 12019–12034, 2025. Disponível em:</w:t>
      </w:r>
      <w:hyperlink r:id="rId7">
        <w:r w:rsidDel="00000000" w:rsidR="00000000" w:rsidRPr="00000000">
          <w:rPr>
            <w:rFonts w:ascii="Arial" w:cs="Arial" w:eastAsia="Arial" w:hAnsi="Arial"/>
            <w:sz w:val="24"/>
            <w:szCs w:val="24"/>
            <w:rtl w:val="0"/>
          </w:rPr>
          <w:t xml:space="preserve"> </w:t>
        </w:r>
      </w:hyperlink>
      <w:hyperlink r:id="rId8">
        <w:r w:rsidDel="00000000" w:rsidR="00000000" w:rsidRPr="00000000">
          <w:rPr>
            <w:rFonts w:ascii="Arial" w:cs="Arial" w:eastAsia="Arial" w:hAnsi="Arial"/>
            <w:color w:val="1155cc"/>
            <w:sz w:val="24"/>
            <w:szCs w:val="24"/>
            <w:u w:val="single"/>
            <w:rtl w:val="0"/>
          </w:rPr>
          <w:t xml:space="preserve">https://pmc.ncbi.nlm.nih.gov/articles/PMC12766319/</w:t>
        </w:r>
      </w:hyperlink>
      <w:r w:rsidDel="00000000" w:rsidR="00000000" w:rsidRPr="00000000">
        <w:rPr>
          <w:rFonts w:ascii="Arial" w:cs="Arial" w:eastAsia="Arial" w:hAnsi="Arial"/>
          <w:sz w:val="24"/>
          <w:szCs w:val="24"/>
          <w:rtl w:val="0"/>
        </w:rPr>
        <w:t xml:space="preserve">. Acesso em: 31 maio 2026.</w:t>
      </w:r>
    </w:p>
    <w:p w:rsidR="00000000" w:rsidDel="00000000" w:rsidP="00000000" w:rsidRDefault="00000000" w:rsidRPr="00000000" w14:paraId="0000003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DITTRICH, M. T.; KLAU, G. W.; ROSENWALD, A.; DANDEKAR, T.; MÜLLER, T. Identifying functional modules in protein-protein interaction networks: an integrated exact approach. Bioinformatics, v. 24, n. 13, p. i223–i231, 2008. Disponível em:</w:t>
      </w:r>
      <w:hyperlink r:id="rId9">
        <w:r w:rsidDel="00000000" w:rsidR="00000000" w:rsidRPr="00000000">
          <w:rPr>
            <w:rFonts w:ascii="Arial" w:cs="Arial" w:eastAsia="Arial" w:hAnsi="Arial"/>
            <w:sz w:val="24"/>
            <w:szCs w:val="24"/>
            <w:rtl w:val="0"/>
          </w:rPr>
          <w:t xml:space="preserve"> </w:t>
        </w:r>
      </w:hyperlink>
      <w:hyperlink r:id="rId10">
        <w:r w:rsidDel="00000000" w:rsidR="00000000" w:rsidRPr="00000000">
          <w:rPr>
            <w:rFonts w:ascii="Arial" w:cs="Arial" w:eastAsia="Arial" w:hAnsi="Arial"/>
            <w:color w:val="1155cc"/>
            <w:sz w:val="24"/>
            <w:szCs w:val="24"/>
            <w:u w:val="single"/>
            <w:rtl w:val="0"/>
          </w:rPr>
          <w:t xml:space="preserve">https://doi.org/10.1093/bioinformatics/btn161</w:t>
        </w:r>
      </w:hyperlink>
      <w:r w:rsidDel="00000000" w:rsidR="00000000" w:rsidRPr="00000000">
        <w:rPr>
          <w:rFonts w:ascii="Arial" w:cs="Arial" w:eastAsia="Arial" w:hAnsi="Arial"/>
          <w:sz w:val="24"/>
          <w:szCs w:val="24"/>
          <w:rtl w:val="0"/>
        </w:rPr>
        <w:t xml:space="preserve">. Acesso em: 22 mar. 2026.</w:t>
      </w:r>
    </w:p>
    <w:p w:rsidR="00000000" w:rsidDel="00000000" w:rsidP="00000000" w:rsidRDefault="00000000" w:rsidRPr="00000000" w14:paraId="0000003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HASIN, Y.; SELDIN, M.; LUSIS, A. Multi-omics approaches to disease. Genome Biology, v. 18, n. 83, 2017. Disponível em:</w:t>
      </w:r>
      <w:hyperlink r:id="rId11">
        <w:r w:rsidDel="00000000" w:rsidR="00000000" w:rsidRPr="00000000">
          <w:rPr>
            <w:rFonts w:ascii="Arial" w:cs="Arial" w:eastAsia="Arial" w:hAnsi="Arial"/>
            <w:sz w:val="24"/>
            <w:szCs w:val="24"/>
            <w:rtl w:val="0"/>
          </w:rPr>
          <w:t xml:space="preserve"> </w:t>
        </w:r>
      </w:hyperlink>
      <w:hyperlink r:id="rId12">
        <w:r w:rsidDel="00000000" w:rsidR="00000000" w:rsidRPr="00000000">
          <w:rPr>
            <w:rFonts w:ascii="Arial" w:cs="Arial" w:eastAsia="Arial" w:hAnsi="Arial"/>
            <w:color w:val="1155cc"/>
            <w:sz w:val="24"/>
            <w:szCs w:val="24"/>
            <w:u w:val="single"/>
            <w:rtl w:val="0"/>
          </w:rPr>
          <w:t xml:space="preserve">https://doi.org/10.1186/s13059-017-1215-1</w:t>
        </w:r>
      </w:hyperlink>
      <w:r w:rsidDel="00000000" w:rsidR="00000000" w:rsidRPr="00000000">
        <w:rPr>
          <w:rFonts w:ascii="Arial" w:cs="Arial" w:eastAsia="Arial" w:hAnsi="Arial"/>
          <w:sz w:val="24"/>
          <w:szCs w:val="24"/>
          <w:rtl w:val="0"/>
        </w:rPr>
        <w:t xml:space="preserve">. Acesso em: 22 mar. 2026.</w:t>
      </w:r>
    </w:p>
    <w:p w:rsidR="00000000" w:rsidDel="00000000" w:rsidP="00000000" w:rsidRDefault="00000000" w:rsidRPr="00000000" w14:paraId="0000003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JEONG, H.; QIAN, X.; YOON, B.-J. Effective comparative analysis of protein-protein interaction networks by measuring the steady-state network flow using a Markov model. BMC Bioinformatics, v. 17, Suppl. 17, 2016. Disponível em:</w:t>
      </w:r>
      <w:hyperlink r:id="rId13">
        <w:r w:rsidDel="00000000" w:rsidR="00000000" w:rsidRPr="00000000">
          <w:rPr>
            <w:rFonts w:ascii="Arial" w:cs="Arial" w:eastAsia="Arial" w:hAnsi="Arial"/>
            <w:sz w:val="24"/>
            <w:szCs w:val="24"/>
            <w:rtl w:val="0"/>
          </w:rPr>
          <w:t xml:space="preserve"> </w:t>
        </w:r>
      </w:hyperlink>
      <w:hyperlink r:id="rId14">
        <w:r w:rsidDel="00000000" w:rsidR="00000000" w:rsidRPr="00000000">
          <w:rPr>
            <w:rFonts w:ascii="Arial" w:cs="Arial" w:eastAsia="Arial" w:hAnsi="Arial"/>
            <w:color w:val="1155cc"/>
            <w:sz w:val="24"/>
            <w:szCs w:val="24"/>
            <w:u w:val="single"/>
            <w:rtl w:val="0"/>
          </w:rPr>
          <w:t xml:space="preserve">https://doi.org/10.1186/s12859-016-1215-2</w:t>
        </w:r>
      </w:hyperlink>
      <w:r w:rsidDel="00000000" w:rsidR="00000000" w:rsidRPr="00000000">
        <w:rPr>
          <w:rFonts w:ascii="Arial" w:cs="Arial" w:eastAsia="Arial" w:hAnsi="Arial"/>
          <w:sz w:val="24"/>
          <w:szCs w:val="24"/>
          <w:rtl w:val="0"/>
        </w:rPr>
        <w:t xml:space="preserve">. Acesso em: 22 mar. 2026.</w:t>
      </w:r>
    </w:p>
    <w:p w:rsidR="00000000" w:rsidDel="00000000" w:rsidP="00000000" w:rsidRDefault="00000000" w:rsidRPr="00000000" w14:paraId="0000003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KUZMANOV, U.; EMILI, A. Protein-protein interaction networks: probing disease mechanisms using model systems. Genome Medicine, v. 5, n. 4, p. 37, 2013. Disponível em:</w:t>
      </w:r>
      <w:hyperlink r:id="rId15">
        <w:r w:rsidDel="00000000" w:rsidR="00000000" w:rsidRPr="00000000">
          <w:rPr>
            <w:rFonts w:ascii="Arial" w:cs="Arial" w:eastAsia="Arial" w:hAnsi="Arial"/>
            <w:sz w:val="24"/>
            <w:szCs w:val="24"/>
            <w:rtl w:val="0"/>
          </w:rPr>
          <w:t xml:space="preserve"> </w:t>
        </w:r>
      </w:hyperlink>
      <w:hyperlink r:id="rId16">
        <w:r w:rsidDel="00000000" w:rsidR="00000000" w:rsidRPr="00000000">
          <w:rPr>
            <w:rFonts w:ascii="Arial" w:cs="Arial" w:eastAsia="Arial" w:hAnsi="Arial"/>
            <w:color w:val="1155cc"/>
            <w:sz w:val="24"/>
            <w:szCs w:val="24"/>
            <w:u w:val="single"/>
            <w:rtl w:val="0"/>
          </w:rPr>
          <w:t xml:space="preserve">https://doi.org/10.1186/gm441</w:t>
        </w:r>
      </w:hyperlink>
      <w:r w:rsidDel="00000000" w:rsidR="00000000" w:rsidRPr="00000000">
        <w:rPr>
          <w:rFonts w:ascii="Arial" w:cs="Arial" w:eastAsia="Arial" w:hAnsi="Arial"/>
          <w:sz w:val="24"/>
          <w:szCs w:val="24"/>
          <w:rtl w:val="0"/>
        </w:rPr>
        <w:t xml:space="preserve">. Acesso em: 8 maio 2026.</w:t>
      </w:r>
    </w:p>
    <w:p w:rsidR="00000000" w:rsidDel="00000000" w:rsidP="00000000" w:rsidRDefault="00000000" w:rsidRPr="00000000" w14:paraId="0000003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LEE, J.; HYEON, D. Y.; HWANG, D. Single-cell multiomics: technologies and data analysis methods. Experimental &amp; Molecular Medicine, v. 52, p. 1428–1442, 2020. Disponível em:</w:t>
      </w:r>
      <w:hyperlink r:id="rId17">
        <w:r w:rsidDel="00000000" w:rsidR="00000000" w:rsidRPr="00000000">
          <w:rPr>
            <w:rFonts w:ascii="Arial" w:cs="Arial" w:eastAsia="Arial" w:hAnsi="Arial"/>
            <w:sz w:val="24"/>
            <w:szCs w:val="24"/>
            <w:rtl w:val="0"/>
          </w:rPr>
          <w:t xml:space="preserve"> </w:t>
        </w:r>
      </w:hyperlink>
      <w:hyperlink r:id="rId18">
        <w:r w:rsidDel="00000000" w:rsidR="00000000" w:rsidRPr="00000000">
          <w:rPr>
            <w:rFonts w:ascii="Arial" w:cs="Arial" w:eastAsia="Arial" w:hAnsi="Arial"/>
            <w:color w:val="1155cc"/>
            <w:sz w:val="24"/>
            <w:szCs w:val="24"/>
            <w:u w:val="single"/>
            <w:rtl w:val="0"/>
          </w:rPr>
          <w:t xml:space="preserve">https://doi.org/10.1038/s12276-020-0420-2</w:t>
        </w:r>
      </w:hyperlink>
      <w:r w:rsidDel="00000000" w:rsidR="00000000" w:rsidRPr="00000000">
        <w:rPr>
          <w:rFonts w:ascii="Arial" w:cs="Arial" w:eastAsia="Arial" w:hAnsi="Arial"/>
          <w:sz w:val="24"/>
          <w:szCs w:val="24"/>
          <w:rtl w:val="0"/>
        </w:rPr>
        <w:t xml:space="preserve">. Acesso em: 22 mar. 2026.</w:t>
      </w:r>
    </w:p>
    <w:p w:rsidR="00000000" w:rsidDel="00000000" w:rsidP="00000000" w:rsidRDefault="00000000" w:rsidRPr="00000000" w14:paraId="0000003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MARTHA, V. S. et al. Constructing a robust protein-protein interaction network by integrating multiple public databases. BMC Bioinformatics, v. 12, Suppl. 10, S7, 2011. Disponível em:</w:t>
      </w:r>
      <w:hyperlink r:id="rId19">
        <w:r w:rsidDel="00000000" w:rsidR="00000000" w:rsidRPr="00000000">
          <w:rPr>
            <w:rFonts w:ascii="Arial" w:cs="Arial" w:eastAsia="Arial" w:hAnsi="Arial"/>
            <w:sz w:val="24"/>
            <w:szCs w:val="24"/>
            <w:rtl w:val="0"/>
          </w:rPr>
          <w:t xml:space="preserve"> </w:t>
        </w:r>
      </w:hyperlink>
      <w:hyperlink r:id="rId20">
        <w:r w:rsidDel="00000000" w:rsidR="00000000" w:rsidRPr="00000000">
          <w:rPr>
            <w:rFonts w:ascii="Arial" w:cs="Arial" w:eastAsia="Arial" w:hAnsi="Arial"/>
            <w:color w:val="1155cc"/>
            <w:sz w:val="24"/>
            <w:szCs w:val="24"/>
            <w:u w:val="single"/>
            <w:rtl w:val="0"/>
          </w:rPr>
          <w:t xml:space="preserve">https://doi.org/10.1186/1471-2105-12-S10-S7</w:t>
        </w:r>
      </w:hyperlink>
      <w:r w:rsidDel="00000000" w:rsidR="00000000" w:rsidRPr="00000000">
        <w:rPr>
          <w:rFonts w:ascii="Arial" w:cs="Arial" w:eastAsia="Arial" w:hAnsi="Arial"/>
          <w:sz w:val="24"/>
          <w:szCs w:val="24"/>
          <w:rtl w:val="0"/>
        </w:rPr>
        <w:t xml:space="preserve">. Acesso em: 22 mar. 2026.</w:t>
      </w:r>
    </w:p>
    <w:p w:rsidR="00000000" w:rsidDel="00000000" w:rsidP="00000000" w:rsidRDefault="00000000" w:rsidRPr="00000000" w14:paraId="0000003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PEREIRA, M.; VALE, N. Ritonavir's evolving role: a journey from antiretroviral therapy to broader medical applications. Current Oncology, v. 31, n. 10, p. 6032–6049, 2024. Disponível em:</w:t>
      </w:r>
      <w:hyperlink r:id="rId21">
        <w:r w:rsidDel="00000000" w:rsidR="00000000" w:rsidRPr="00000000">
          <w:rPr>
            <w:rFonts w:ascii="Arial" w:cs="Arial" w:eastAsia="Arial" w:hAnsi="Arial"/>
            <w:sz w:val="24"/>
            <w:szCs w:val="24"/>
            <w:rtl w:val="0"/>
          </w:rPr>
          <w:t xml:space="preserve"> </w:t>
        </w:r>
      </w:hyperlink>
      <w:hyperlink r:id="rId22">
        <w:r w:rsidDel="00000000" w:rsidR="00000000" w:rsidRPr="00000000">
          <w:rPr>
            <w:rFonts w:ascii="Arial" w:cs="Arial" w:eastAsia="Arial" w:hAnsi="Arial"/>
            <w:color w:val="1155cc"/>
            <w:sz w:val="24"/>
            <w:szCs w:val="24"/>
            <w:u w:val="single"/>
            <w:rtl w:val="0"/>
          </w:rPr>
          <w:t xml:space="preserve">https://pmc.ncbi.nlm.nih.gov/articles/PMC11505664/</w:t>
        </w:r>
      </w:hyperlink>
      <w:r w:rsidDel="00000000" w:rsidR="00000000" w:rsidRPr="00000000">
        <w:rPr>
          <w:rFonts w:ascii="Arial" w:cs="Arial" w:eastAsia="Arial" w:hAnsi="Arial"/>
          <w:sz w:val="24"/>
          <w:szCs w:val="24"/>
          <w:rtl w:val="0"/>
        </w:rPr>
        <w:t xml:space="preserve">. Acesso em: 31 maio 2026.</w:t>
      </w:r>
    </w:p>
    <w:p w:rsidR="00000000" w:rsidDel="00000000" w:rsidP="00000000" w:rsidRDefault="00000000" w:rsidRPr="00000000" w14:paraId="0000003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RAMOS, R. H.; FERREIRA, C. O. L.; SIMÃO, A. Human protein–protein interaction networks: a topological comparison review. Heliyon, v. 10, e27278, 2024. Disponível em:</w:t>
      </w:r>
      <w:hyperlink r:id="rId23">
        <w:r w:rsidDel="00000000" w:rsidR="00000000" w:rsidRPr="00000000">
          <w:rPr>
            <w:rFonts w:ascii="Arial" w:cs="Arial" w:eastAsia="Arial" w:hAnsi="Arial"/>
            <w:sz w:val="24"/>
            <w:szCs w:val="24"/>
            <w:rtl w:val="0"/>
          </w:rPr>
          <w:t xml:space="preserve"> </w:t>
        </w:r>
      </w:hyperlink>
      <w:hyperlink r:id="rId24">
        <w:r w:rsidDel="00000000" w:rsidR="00000000" w:rsidRPr="00000000">
          <w:rPr>
            <w:rFonts w:ascii="Arial" w:cs="Arial" w:eastAsia="Arial" w:hAnsi="Arial"/>
            <w:color w:val="1155cc"/>
            <w:sz w:val="24"/>
            <w:szCs w:val="24"/>
            <w:u w:val="single"/>
            <w:rtl w:val="0"/>
          </w:rPr>
          <w:t xml:space="preserve">https://pmc.ncbi.nlm.nih.gov/articles/PMC10982977/</w:t>
        </w:r>
      </w:hyperlink>
      <w:r w:rsidDel="00000000" w:rsidR="00000000" w:rsidRPr="00000000">
        <w:rPr>
          <w:rFonts w:ascii="Arial" w:cs="Arial" w:eastAsia="Arial" w:hAnsi="Arial"/>
          <w:sz w:val="24"/>
          <w:szCs w:val="24"/>
          <w:rtl w:val="0"/>
        </w:rPr>
        <w:t xml:space="preserve">. Acesso em: 31 maio 2026.</w:t>
      </w:r>
    </w:p>
    <w:p w:rsidR="00000000" w:rsidDel="00000000" w:rsidP="00000000" w:rsidRDefault="00000000" w:rsidRPr="00000000" w14:paraId="0000003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SEVIMOGLU, T.; ARGA, K. Y. The role of protein interaction networks in systems biomedicine. Computational and Structural Biotechnology Journal, v. 11, p. 22–27, 2014. Disponível em:</w:t>
      </w:r>
      <w:hyperlink r:id="rId25">
        <w:r w:rsidDel="00000000" w:rsidR="00000000" w:rsidRPr="00000000">
          <w:rPr>
            <w:rFonts w:ascii="Arial" w:cs="Arial" w:eastAsia="Arial" w:hAnsi="Arial"/>
            <w:sz w:val="24"/>
            <w:szCs w:val="24"/>
            <w:rtl w:val="0"/>
          </w:rPr>
          <w:t xml:space="preserve"> </w:t>
        </w:r>
      </w:hyperlink>
      <w:hyperlink r:id="rId26">
        <w:r w:rsidDel="00000000" w:rsidR="00000000" w:rsidRPr="00000000">
          <w:rPr>
            <w:rFonts w:ascii="Arial" w:cs="Arial" w:eastAsia="Arial" w:hAnsi="Arial"/>
            <w:color w:val="1155cc"/>
            <w:sz w:val="24"/>
            <w:szCs w:val="24"/>
            <w:u w:val="single"/>
            <w:rtl w:val="0"/>
          </w:rPr>
          <w:t xml:space="preserve">https://doi.org/10.1016/j.csbj.2014.08.008</w:t>
        </w:r>
      </w:hyperlink>
      <w:r w:rsidDel="00000000" w:rsidR="00000000" w:rsidRPr="00000000">
        <w:rPr>
          <w:rFonts w:ascii="Arial" w:cs="Arial" w:eastAsia="Arial" w:hAnsi="Arial"/>
          <w:sz w:val="24"/>
          <w:szCs w:val="24"/>
          <w:rtl w:val="0"/>
        </w:rPr>
        <w:t xml:space="preserve">. Acesso em: 22 mar. 2026.</w:t>
      </w:r>
    </w:p>
    <w:p w:rsidR="00000000" w:rsidDel="00000000" w:rsidP="00000000" w:rsidRDefault="00000000" w:rsidRPr="00000000" w14:paraId="0000003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TSARE, E. P. G.; KLAPA, M. I.; MOSCHONAS, N. K. Protein–protein interaction network-based integration of GWAS and functional data for blood pressure regulation analysis. Human Genomics, v. 18, p. 15, 2024. Disponível em:</w:t>
      </w:r>
      <w:hyperlink r:id="rId27">
        <w:r w:rsidDel="00000000" w:rsidR="00000000" w:rsidRPr="00000000">
          <w:rPr>
            <w:rFonts w:ascii="Arial" w:cs="Arial" w:eastAsia="Arial" w:hAnsi="Arial"/>
            <w:sz w:val="24"/>
            <w:szCs w:val="24"/>
            <w:rtl w:val="0"/>
          </w:rPr>
          <w:t xml:space="preserve"> </w:t>
        </w:r>
      </w:hyperlink>
      <w:hyperlink r:id="rId28">
        <w:r w:rsidDel="00000000" w:rsidR="00000000" w:rsidRPr="00000000">
          <w:rPr>
            <w:rFonts w:ascii="Arial" w:cs="Arial" w:eastAsia="Arial" w:hAnsi="Arial"/>
            <w:color w:val="1155cc"/>
            <w:sz w:val="24"/>
            <w:szCs w:val="24"/>
            <w:u w:val="single"/>
            <w:rtl w:val="0"/>
          </w:rPr>
          <w:t xml:space="preserve">https://doi.org/10.1186/s40246-023-00565-6</w:t>
        </w:r>
      </w:hyperlink>
      <w:r w:rsidDel="00000000" w:rsidR="00000000" w:rsidRPr="00000000">
        <w:rPr>
          <w:rFonts w:ascii="Arial" w:cs="Arial" w:eastAsia="Arial" w:hAnsi="Arial"/>
          <w:sz w:val="24"/>
          <w:szCs w:val="24"/>
          <w:rtl w:val="0"/>
        </w:rPr>
        <w:t xml:space="preserve">. Acesso em: 6 maio 2026.</w:t>
      </w:r>
    </w:p>
    <w:p w:rsidR="00000000" w:rsidDel="00000000" w:rsidP="00000000" w:rsidRDefault="00000000" w:rsidRPr="00000000" w14:paraId="0000003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TURANALP, M. E.; CAN, T. Discovering functional interaction patterns in protein-protein interaction networks. BMC Bioinformatics, v. 9, n. 276, 2008. Disponível em:</w:t>
      </w:r>
      <w:hyperlink r:id="rId29">
        <w:r w:rsidDel="00000000" w:rsidR="00000000" w:rsidRPr="00000000">
          <w:rPr>
            <w:rFonts w:ascii="Arial" w:cs="Arial" w:eastAsia="Arial" w:hAnsi="Arial"/>
            <w:sz w:val="24"/>
            <w:szCs w:val="24"/>
            <w:rtl w:val="0"/>
          </w:rPr>
          <w:t xml:space="preserve"> </w:t>
        </w:r>
      </w:hyperlink>
      <w:hyperlink r:id="rId30">
        <w:r w:rsidDel="00000000" w:rsidR="00000000" w:rsidRPr="00000000">
          <w:rPr>
            <w:rFonts w:ascii="Arial" w:cs="Arial" w:eastAsia="Arial" w:hAnsi="Arial"/>
            <w:color w:val="1155cc"/>
            <w:sz w:val="24"/>
            <w:szCs w:val="24"/>
            <w:u w:val="single"/>
            <w:rtl w:val="0"/>
          </w:rPr>
          <w:t xml:space="preserve">https://doi.org/10.1186/1471-2105-9-276</w:t>
        </w:r>
      </w:hyperlink>
      <w:r w:rsidDel="00000000" w:rsidR="00000000" w:rsidRPr="00000000">
        <w:rPr>
          <w:rFonts w:ascii="Arial" w:cs="Arial" w:eastAsia="Arial" w:hAnsi="Arial"/>
          <w:sz w:val="24"/>
          <w:szCs w:val="24"/>
          <w:rtl w:val="0"/>
        </w:rPr>
        <w:t xml:space="preserve">. Acesso em: 22 mar. 2026 </w:t>
      </w:r>
    </w:p>
    <w:p w:rsidR="00000000" w:rsidDel="00000000" w:rsidP="00000000" w:rsidRDefault="00000000" w:rsidRPr="00000000" w14:paraId="0000003C">
      <w:pPr>
        <w:keepNext w:val="0"/>
        <w:keepLines w:val="0"/>
        <w:pageBreakBefore w:val="0"/>
        <w:widowControl w:val="1"/>
        <w:shd w:fill="auto" w:val="clear"/>
        <w:spacing w:after="120" w:before="12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spacing w:after="120" w:before="12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Declaração de uso de inteligência artificial</w:t>
      </w:r>
    </w:p>
    <w:p w:rsidR="00000000" w:rsidDel="00000000" w:rsidP="00000000" w:rsidRDefault="00000000" w:rsidRPr="00000000" w14:paraId="0000003E">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ferramenta de inteligência artificial utilizada neste trabalho foi o ChatGPT. Foi usado como apoio para delimitar a organização inicial da estrutura do artigo, auxiliando na delimitação dos tópicos a serem abordados. </w:t>
      </w:r>
    </w:p>
    <w:p w:rsidR="00000000" w:rsidDel="00000000" w:rsidP="00000000" w:rsidRDefault="00000000" w:rsidRPr="00000000" w14:paraId="0000003F">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Posteriormente, foi usado para sugerir possíveis artigos relacionados a cada tópico do tema (descoberta de mecanismos biológicos, descoberta e reposicionamento de fármacos, doenças e integração multiômica), auxiliou também na tradução de textos em inglês para o português.</w:t>
      </w:r>
    </w:p>
    <w:p w:rsidR="00000000" w:rsidDel="00000000" w:rsidP="00000000" w:rsidRDefault="00000000" w:rsidRPr="00000000" w14:paraId="00000041">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 o artigo pronto foi utilizado para verificar a coerência e coesão textual, além de servir como suporte para conferência da formatação de referências e citações. </w:t>
      </w:r>
    </w:p>
    <w:p w:rsidR="00000000" w:rsidDel="00000000" w:rsidP="00000000" w:rsidRDefault="00000000" w:rsidRPr="00000000" w14:paraId="00000043">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spacing w:line="360" w:lineRule="auto"/>
        <w:ind w:left="0" w:firstLine="0"/>
        <w:jc w:val="both"/>
        <w:rPr>
          <w:sz w:val="24"/>
          <w:szCs w:val="24"/>
        </w:rPr>
      </w:pPr>
      <w:r w:rsidDel="00000000" w:rsidR="00000000" w:rsidRPr="00000000">
        <w:rPr>
          <w:rFonts w:ascii="Arial" w:cs="Arial" w:eastAsia="Arial" w:hAnsi="Arial"/>
          <w:sz w:val="22"/>
          <w:szCs w:val="22"/>
          <w:rtl w:val="0"/>
        </w:rPr>
        <w:t xml:space="preserve">A análise, seleção e interpretação dos conteúdos usados no trabalho permaneceram sob nossa responsabilidade. </w:t>
      </w:r>
      <w:r w:rsidDel="00000000" w:rsidR="00000000" w:rsidRPr="00000000">
        <w:rPr>
          <w:rtl w:val="0"/>
        </w:rPr>
      </w:r>
    </w:p>
    <w:sectPr>
      <w:headerReference r:id="rId31" w:type="default"/>
      <w:headerReference r:id="rId32" w:type="first"/>
      <w:headerReference r:id="rId33" w:type="even"/>
      <w:footerReference r:id="rId34" w:type="default"/>
      <w:footerReference r:id="rId35" w:type="even"/>
      <w:pgSz w:h="16838" w:w="11906" w:orient="portrait"/>
      <w:pgMar w:bottom="1134" w:top="1701" w:left="1701"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D">
    <w:pPr>
      <w:keepNext w:val="0"/>
      <w:keepLines w:val="0"/>
      <w:widowControl w:val="1"/>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widowControl w:val="1"/>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widowControl w:val="1"/>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9">
    <w:pPr>
      <w:keepNext w:val="0"/>
      <w:keepLines w:val="0"/>
      <w:widowControl w:val="1"/>
      <w:shd w:fill="auto" w:val="clear"/>
      <w:tabs>
        <w:tab w:val="center" w:leader="none" w:pos="4419"/>
        <w:tab w:val="right" w:leader="none" w:pos="8838"/>
      </w:tabs>
      <w:spacing w:after="0" w:before="0" w:line="240" w:lineRule="auto"/>
      <w:ind w:left="0" w:right="36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after="0" w:before="480" w:line="360" w:lineRule="auto"/>
      <w:ind w:left="720" w:firstLine="0"/>
      <w:jc w:val="center"/>
      <w:rPr>
        <w:b w:val="1"/>
        <w:bCs w:val="1"/>
        <w:sz w:val="24"/>
        <w:szCs w:val="24"/>
      </w:rPr>
    </w:pPr>
    <w:r w:rsidDel="00000000" w:rsidR="00000000" w:rsidRPr="00000000">
      <w:rPr>
        <w:b w:val="1"/>
        <w:bCs w:val="1"/>
        <w:sz w:val="24"/>
        <w:szCs w:val="24"/>
        <w:rtl w:val="0"/>
      </w:rPr>
      <w:t xml:space="preserve">Metodologia de Pesquisa Científica</w:t>
    </w:r>
    <w:r w:rsidDel="00000000" w:rsidR="00000000" w:rsidRPr="00000000">
      <w:drawing>
        <wp:anchor allowOverlap="1" behindDoc="1" distB="0" distT="0" distL="0" distR="0" hidden="0" layoutInCell="1" locked="0" relativeHeight="0" simplePos="0">
          <wp:simplePos x="0" y="0"/>
          <wp:positionH relativeFrom="column">
            <wp:posOffset>-447674</wp:posOffset>
          </wp:positionH>
          <wp:positionV relativeFrom="paragraph">
            <wp:posOffset>-351154</wp:posOffset>
          </wp:positionV>
          <wp:extent cx="1195705" cy="5359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5705" cy="5359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340"/>
      </w:pPr>
      <w:rPr>
        <w:sz w:val="20"/>
        <w:szCs w:val="20"/>
        <w:vertAlign w:val="baseline"/>
      </w:rPr>
    </w:lvl>
    <w:lvl w:ilvl="1">
      <w:start w:val="1"/>
      <w:numFmt w:val="decimal"/>
      <w:lvlText w:val="%1.%2."/>
      <w:lvlJc w:val="left"/>
      <w:pPr>
        <w:ind w:left="680" w:hanging="680"/>
      </w:pPr>
      <w:rPr>
        <w:sz w:val="20"/>
        <w:szCs w:val="20"/>
        <w:vertAlign w:val="baseline"/>
      </w:rPr>
    </w:lvl>
    <w:lvl w:ilvl="2">
      <w:start w:val="1"/>
      <w:numFmt w:val="decimal"/>
      <w:lvlText w:val="%1.%2.%3."/>
      <w:lvlJc w:val="left"/>
      <w:pPr>
        <w:ind w:left="1021" w:hanging="1021"/>
      </w:pPr>
      <w:rPr>
        <w:sz w:val="20"/>
        <w:szCs w:val="20"/>
        <w:vertAlign w:val="baseline"/>
      </w:rPr>
    </w:lvl>
    <w:lvl w:ilvl="3">
      <w:start w:val="1"/>
      <w:numFmt w:val="decimal"/>
      <w:lvlText w:val="%1.%2.%3.%4."/>
      <w:lvlJc w:val="left"/>
      <w:pPr>
        <w:ind w:left="1728" w:hanging="647"/>
      </w:pPr>
      <w:rPr>
        <w:sz w:val="20"/>
        <w:szCs w:val="20"/>
        <w:vertAlign w:val="baseline"/>
      </w:rPr>
    </w:lvl>
    <w:lvl w:ilvl="4">
      <w:start w:val="1"/>
      <w:numFmt w:val="decimal"/>
      <w:lvlText w:val="%1.%2.%3.%4.%5."/>
      <w:lvlJc w:val="left"/>
      <w:pPr>
        <w:ind w:left="2232" w:hanging="792"/>
      </w:pPr>
      <w:rPr>
        <w:sz w:val="20"/>
        <w:szCs w:val="20"/>
        <w:vertAlign w:val="baseline"/>
      </w:rPr>
    </w:lvl>
    <w:lvl w:ilvl="5">
      <w:start w:val="1"/>
      <w:numFmt w:val="decimal"/>
      <w:lvlText w:val="%1.%2.%3.%4.%5.%6."/>
      <w:lvlJc w:val="left"/>
      <w:pPr>
        <w:ind w:left="2736" w:hanging="934.9999999999998"/>
      </w:pPr>
      <w:rPr>
        <w:sz w:val="20"/>
        <w:szCs w:val="20"/>
        <w:vertAlign w:val="baseline"/>
      </w:rPr>
    </w:lvl>
    <w:lvl w:ilvl="6">
      <w:start w:val="1"/>
      <w:numFmt w:val="decimal"/>
      <w:lvlText w:val="%1.%2.%3.%4.%5.%6.%7."/>
      <w:lvlJc w:val="left"/>
      <w:pPr>
        <w:ind w:left="3240" w:hanging="1080"/>
      </w:pPr>
      <w:rPr>
        <w:sz w:val="20"/>
        <w:szCs w:val="20"/>
        <w:vertAlign w:val="baseline"/>
      </w:rPr>
    </w:lvl>
    <w:lvl w:ilvl="7">
      <w:start w:val="1"/>
      <w:numFmt w:val="decimal"/>
      <w:lvlText w:val="%1.%2.%3.%4.%5.%6.%7.%8."/>
      <w:lvlJc w:val="left"/>
      <w:pPr>
        <w:ind w:left="3744" w:hanging="1224.0000000000005"/>
      </w:pPr>
      <w:rPr>
        <w:sz w:val="20"/>
        <w:szCs w:val="20"/>
        <w:vertAlign w:val="baseline"/>
      </w:rPr>
    </w:lvl>
    <w:lvl w:ilvl="8">
      <w:start w:val="1"/>
      <w:numFmt w:val="decimal"/>
      <w:lvlText w:val="%1.%2.%3.%4.%5.%6.%7.%8.%9."/>
      <w:lvlJc w:val="left"/>
      <w:pPr>
        <w:ind w:left="4320" w:hanging="1440"/>
      </w:pPr>
      <w:rPr>
        <w:sz w:val="20"/>
        <w:szCs w:val="2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1471-2105-12-S10-S7" TargetMode="External"/><Relationship Id="rId22" Type="http://schemas.openxmlformats.org/officeDocument/2006/relationships/hyperlink" Target="https://pmc.ncbi.nlm.nih.gov/articles/PMC11505664/" TargetMode="External"/><Relationship Id="rId21" Type="http://schemas.openxmlformats.org/officeDocument/2006/relationships/hyperlink" Target="https://pmc.ncbi.nlm.nih.gov/articles/PMC11505664/" TargetMode="External"/><Relationship Id="rId24" Type="http://schemas.openxmlformats.org/officeDocument/2006/relationships/hyperlink" Target="https://pmc.ncbi.nlm.nih.gov/articles/PMC10982977/" TargetMode="External"/><Relationship Id="rId23" Type="http://schemas.openxmlformats.org/officeDocument/2006/relationships/hyperlink" Target="https://pmc.ncbi.nlm.nih.gov/articles/PMC109829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bioinformatics/btn161" TargetMode="External"/><Relationship Id="rId26" Type="http://schemas.openxmlformats.org/officeDocument/2006/relationships/hyperlink" Target="https://doi.org/10.1016/j.csbj.2014.08.008" TargetMode="External"/><Relationship Id="rId25" Type="http://schemas.openxmlformats.org/officeDocument/2006/relationships/hyperlink" Target="https://doi.org/10.1016/j.csbj.2014.08.008" TargetMode="External"/><Relationship Id="rId28" Type="http://schemas.openxmlformats.org/officeDocument/2006/relationships/hyperlink" Target="https://doi.org/10.1186/s40246-023-00565-6" TargetMode="External"/><Relationship Id="rId27" Type="http://schemas.openxmlformats.org/officeDocument/2006/relationships/hyperlink" Target="https://doi.org/10.1186/s40246-023-00565-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86/1471-2105-9-276" TargetMode="External"/><Relationship Id="rId7" Type="http://schemas.openxmlformats.org/officeDocument/2006/relationships/hyperlink" Target="https://pmc.ncbi.nlm.nih.gov/articles/PMC12766319/" TargetMode="External"/><Relationship Id="rId8" Type="http://schemas.openxmlformats.org/officeDocument/2006/relationships/hyperlink" Target="https://pmc.ncbi.nlm.nih.gov/articles/PMC12766319/" TargetMode="External"/><Relationship Id="rId31" Type="http://schemas.openxmlformats.org/officeDocument/2006/relationships/header" Target="header2.xml"/><Relationship Id="rId30" Type="http://schemas.openxmlformats.org/officeDocument/2006/relationships/hyperlink" Target="https://doi.org/10.1186/1471-2105-9-276" TargetMode="External"/><Relationship Id="rId11" Type="http://schemas.openxmlformats.org/officeDocument/2006/relationships/hyperlink" Target="https://doi.org/10.1186/s13059-017-1215-1" TargetMode="External"/><Relationship Id="rId33" Type="http://schemas.openxmlformats.org/officeDocument/2006/relationships/header" Target="header1.xml"/><Relationship Id="rId10" Type="http://schemas.openxmlformats.org/officeDocument/2006/relationships/hyperlink" Target="https://doi.org/10.1093/bioinformatics/btn161" TargetMode="External"/><Relationship Id="rId32" Type="http://schemas.openxmlformats.org/officeDocument/2006/relationships/header" Target="header3.xml"/><Relationship Id="rId13" Type="http://schemas.openxmlformats.org/officeDocument/2006/relationships/hyperlink" Target="https://doi.org/10.1186/s12859-016-1215-2" TargetMode="External"/><Relationship Id="rId35" Type="http://schemas.openxmlformats.org/officeDocument/2006/relationships/footer" Target="footer1.xml"/><Relationship Id="rId12" Type="http://schemas.openxmlformats.org/officeDocument/2006/relationships/hyperlink" Target="https://doi.org/10.1186/s13059-017-1215-1" TargetMode="External"/><Relationship Id="rId34" Type="http://schemas.openxmlformats.org/officeDocument/2006/relationships/footer" Target="footer2.xml"/><Relationship Id="rId15" Type="http://schemas.openxmlformats.org/officeDocument/2006/relationships/hyperlink" Target="https://doi.org/10.1186/gm441" TargetMode="External"/><Relationship Id="rId14" Type="http://schemas.openxmlformats.org/officeDocument/2006/relationships/hyperlink" Target="https://doi.org/10.1186/s12859-016-1215-2" TargetMode="External"/><Relationship Id="rId17" Type="http://schemas.openxmlformats.org/officeDocument/2006/relationships/hyperlink" Target="https://doi.org/10.1038/s12276-020-0420-2" TargetMode="External"/><Relationship Id="rId16" Type="http://schemas.openxmlformats.org/officeDocument/2006/relationships/hyperlink" Target="https://doi.org/10.1186/gm441" TargetMode="External"/><Relationship Id="rId19" Type="http://schemas.openxmlformats.org/officeDocument/2006/relationships/hyperlink" Target="https://doi.org/10.1186/1471-2105-12-S10-S7" TargetMode="External"/><Relationship Id="rId18" Type="http://schemas.openxmlformats.org/officeDocument/2006/relationships/hyperlink" Target="https://doi.org/10.1038/s12276-020-0420-2"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SSv3+rY6T8P8g+IkGXFz4aLtGw==">CgMxLjA4AHIhMTBMbHh3ZWNQTWw3MUxNVThLVHVLSHJXemJyVTJCUF9V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