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862A8" w14:textId="575C7B28" w:rsidR="00C71C19" w:rsidRPr="00C71C19" w:rsidRDefault="00C71C19" w:rsidP="00C71C19">
      <w:pPr>
        <w:jc w:val="both"/>
        <w:rPr>
          <w:rFonts w:ascii="Times New Roman" w:hAnsi="Times New Roman"/>
          <w:b/>
          <w:bCs/>
          <w:sz w:val="36"/>
          <w:szCs w:val="36"/>
        </w:rPr>
      </w:pPr>
      <w:r>
        <w:rPr>
          <w:rFonts w:ascii="Times New Roman" w:hAnsi="Times New Roman"/>
          <w:b/>
          <w:bCs/>
          <w:sz w:val="36"/>
          <w:szCs w:val="36"/>
        </w:rPr>
        <w:t>Bustos Yáñez Carlos Ian</w:t>
      </w:r>
    </w:p>
    <w:p w14:paraId="675DA60A" w14:textId="77777777" w:rsidR="00C71C19" w:rsidRPr="00C71C19" w:rsidRDefault="00C71C19" w:rsidP="00C71C19">
      <w:pPr>
        <w:jc w:val="both"/>
        <w:rPr>
          <w:rFonts w:ascii="Times New Roman" w:hAnsi="Times New Roman"/>
        </w:rPr>
      </w:pPr>
    </w:p>
    <w:p w14:paraId="0EB7B3C3" w14:textId="0E121E62" w:rsidR="00C71C19" w:rsidRPr="00C71C19" w:rsidRDefault="00C71C19" w:rsidP="00C71C19">
      <w:pPr>
        <w:jc w:val="both"/>
        <w:rPr>
          <w:rFonts w:ascii="Times New Roman" w:hAnsi="Times New Roman"/>
          <w:b/>
          <w:bCs/>
          <w:sz w:val="32"/>
          <w:szCs w:val="32"/>
        </w:rPr>
      </w:pPr>
      <w:r w:rsidRPr="00C71C19">
        <w:rPr>
          <w:rFonts w:ascii="Times New Roman" w:hAnsi="Times New Roman"/>
          <w:b/>
          <w:bCs/>
          <w:sz w:val="32"/>
          <w:szCs w:val="32"/>
        </w:rPr>
        <w:t>Resumen</w:t>
      </w:r>
    </w:p>
    <w:p w14:paraId="3878096C" w14:textId="77777777" w:rsidR="00C71C19" w:rsidRPr="00C71C19" w:rsidRDefault="00C71C19" w:rsidP="00C71C19">
      <w:pPr>
        <w:jc w:val="both"/>
        <w:rPr>
          <w:rFonts w:ascii="Times New Roman" w:hAnsi="Times New Roman"/>
        </w:rPr>
      </w:pPr>
    </w:p>
    <w:p w14:paraId="700E35F2" w14:textId="77777777" w:rsidR="00C71C19" w:rsidRPr="00C71C19" w:rsidRDefault="00C71C19" w:rsidP="00C71C19">
      <w:pPr>
        <w:jc w:val="both"/>
        <w:rPr>
          <w:rFonts w:ascii="Times New Roman" w:hAnsi="Times New Roman"/>
        </w:rPr>
      </w:pPr>
      <w:r w:rsidRPr="00C71C19">
        <w:rPr>
          <w:rFonts w:ascii="Times New Roman" w:hAnsi="Times New Roman"/>
        </w:rPr>
        <w:t xml:space="preserve">El desafío March Machine </w:t>
      </w:r>
      <w:proofErr w:type="spellStart"/>
      <w:r w:rsidRPr="00C71C19">
        <w:rPr>
          <w:rFonts w:ascii="Times New Roman" w:hAnsi="Times New Roman"/>
        </w:rPr>
        <w:t>Learning</w:t>
      </w:r>
      <w:proofErr w:type="spellEnd"/>
      <w:r w:rsidRPr="00C71C19">
        <w:rPr>
          <w:rFonts w:ascii="Times New Roman" w:hAnsi="Times New Roman"/>
        </w:rPr>
        <w:t xml:space="preserve"> </w:t>
      </w:r>
      <w:proofErr w:type="spellStart"/>
      <w:r w:rsidRPr="00C71C19">
        <w:rPr>
          <w:rFonts w:ascii="Times New Roman" w:hAnsi="Times New Roman"/>
        </w:rPr>
        <w:t>Mania</w:t>
      </w:r>
      <w:proofErr w:type="spellEnd"/>
      <w:r w:rsidRPr="00C71C19">
        <w:rPr>
          <w:rFonts w:ascii="Times New Roman" w:hAnsi="Times New Roman"/>
        </w:rPr>
        <w:t xml:space="preserve"> 2026 invita a los participantes a desarrollar modelos capaces de calcular la probabilidad de victoria para cada enfrentamiento posible en el torneo de baloncesto universitario de la NCAA, tanto en la rama varonil como femenil, con 68 equipos en cada una. El concurso ofrece un premio total de 50,000 dólares y la fecha límite para entregar propuestas es el 19 de marzo de 2026.</w:t>
      </w:r>
    </w:p>
    <w:p w14:paraId="6C386A37" w14:textId="77777777" w:rsidR="00C71C19" w:rsidRPr="00C71C19" w:rsidRDefault="00C71C19" w:rsidP="00C71C19">
      <w:pPr>
        <w:jc w:val="both"/>
        <w:rPr>
          <w:rFonts w:ascii="Times New Roman" w:hAnsi="Times New Roman"/>
        </w:rPr>
      </w:pPr>
    </w:p>
    <w:p w14:paraId="4B4FAFFF" w14:textId="77777777" w:rsidR="00C71C19" w:rsidRPr="00C71C19" w:rsidRDefault="00C71C19" w:rsidP="00C71C19">
      <w:pPr>
        <w:jc w:val="both"/>
        <w:rPr>
          <w:rFonts w:ascii="Times New Roman" w:hAnsi="Times New Roman"/>
        </w:rPr>
      </w:pPr>
      <w:r w:rsidRPr="00C71C19">
        <w:rPr>
          <w:rFonts w:ascii="Times New Roman" w:hAnsi="Times New Roman"/>
        </w:rPr>
        <w:t xml:space="preserve">El objetivo principal es que, para cada duelo de equipos, el algoritmo estime la probabilidad de que gane aquel con el identificador más bajo. Las predicciones serán evaluadas con la métrica **Log </w:t>
      </w:r>
      <w:proofErr w:type="spellStart"/>
      <w:r w:rsidRPr="00C71C19">
        <w:rPr>
          <w:rFonts w:ascii="Times New Roman" w:hAnsi="Times New Roman"/>
        </w:rPr>
        <w:t>Loss</w:t>
      </w:r>
      <w:proofErr w:type="spellEnd"/>
      <w:r w:rsidRPr="00C71C19">
        <w:rPr>
          <w:rFonts w:ascii="Times New Roman" w:hAnsi="Times New Roman"/>
        </w:rPr>
        <w:t xml:space="preserve">** (pérdida logarítmica), también denominada entropía cruzada binaria, que castiga severamente los pronósticos excesivamente seguros cuando estos fallan. Como referencia, un modelo que siempre asigna un 50% de probabilidades a cualquier resultado obtiene un log </w:t>
      </w:r>
      <w:proofErr w:type="spellStart"/>
      <w:r w:rsidRPr="00C71C19">
        <w:rPr>
          <w:rFonts w:ascii="Times New Roman" w:hAnsi="Times New Roman"/>
        </w:rPr>
        <w:t>loss</w:t>
      </w:r>
      <w:proofErr w:type="spellEnd"/>
      <w:r w:rsidRPr="00C71C19">
        <w:rPr>
          <w:rFonts w:ascii="Times New Roman" w:hAnsi="Times New Roman"/>
        </w:rPr>
        <w:t xml:space="preserve"> de 0.693, mientras que valores por debajo de 0.65 ya se consideran altamente competitivos. Esta métrica exige que los competidores ajusten meticulosamente sus estimaciones y eviten extremos como 0.99 o 0.01, que pueden resultar catastróficos si el desenlace real contradice la predicción.</w:t>
      </w:r>
    </w:p>
    <w:p w14:paraId="4B1FB8C1" w14:textId="77777777" w:rsidR="00C71C19" w:rsidRPr="00C71C19" w:rsidRDefault="00C71C19" w:rsidP="00C71C19">
      <w:pPr>
        <w:jc w:val="both"/>
        <w:rPr>
          <w:rFonts w:ascii="Times New Roman" w:hAnsi="Times New Roman"/>
        </w:rPr>
      </w:pPr>
    </w:p>
    <w:p w14:paraId="5034BC2D" w14:textId="1AFFAC44" w:rsidR="00B16915" w:rsidRPr="00C71C19" w:rsidRDefault="00C71C19" w:rsidP="00C71C19">
      <w:pPr>
        <w:jc w:val="both"/>
        <w:rPr>
          <w:rFonts w:ascii="Times New Roman" w:hAnsi="Times New Roman"/>
        </w:rPr>
      </w:pPr>
      <w:r w:rsidRPr="00C71C19">
        <w:rPr>
          <w:rFonts w:ascii="Times New Roman" w:hAnsi="Times New Roman"/>
        </w:rPr>
        <w:t>El reto abarca un problema de clasificación binaria de tipo probabilístico con aproximadamente 4,556 predicciones totales (2,278 por cada torneo). Se autoriza el empleo de información complementaria y se fomenta la utilización de metodologías avanzadas de inteligencia artificial y aprendizaje automático. Para construir los modelos, los competidores suelen considerar variables determinantes como el porcentaje de triunfos durante la temporada regular, la diferencia de puntos promedio, la eficiencia ofensiva y defensiva, la posición (</w:t>
      </w:r>
      <w:proofErr w:type="spellStart"/>
      <w:r w:rsidRPr="00C71C19">
        <w:rPr>
          <w:rFonts w:ascii="Times New Roman" w:hAnsi="Times New Roman"/>
        </w:rPr>
        <w:t>seed</w:t>
      </w:r>
      <w:proofErr w:type="spellEnd"/>
      <w:r w:rsidRPr="00C71C19">
        <w:rPr>
          <w:rFonts w:ascii="Times New Roman" w:hAnsi="Times New Roman"/>
        </w:rPr>
        <w:t xml:space="preserve">) en el torneo, el desempeño histórico en campeonatos previos, clasificaciones externas y estadísticas detalladas como el acierto en tiros de tres puntos, el número de rebotes y las asistencias. También se toman en cuenta aspectos como la diferencia de </w:t>
      </w:r>
      <w:proofErr w:type="spellStart"/>
      <w:r w:rsidRPr="00C71C19">
        <w:rPr>
          <w:rFonts w:ascii="Times New Roman" w:hAnsi="Times New Roman"/>
        </w:rPr>
        <w:t>seeds</w:t>
      </w:r>
      <w:proofErr w:type="spellEnd"/>
      <w:r w:rsidRPr="00C71C19">
        <w:rPr>
          <w:rFonts w:ascii="Times New Roman" w:hAnsi="Times New Roman"/>
        </w:rPr>
        <w:t xml:space="preserve"> entre contendientes y la posible ventaja de jugar como local.</w:t>
      </w:r>
    </w:p>
    <w:sectPr w:rsidR="00B16915" w:rsidRPr="00C71C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C19"/>
    <w:rsid w:val="002F3D09"/>
    <w:rsid w:val="003D0F37"/>
    <w:rsid w:val="005B4F09"/>
    <w:rsid w:val="008B0BCF"/>
    <w:rsid w:val="00930049"/>
    <w:rsid w:val="00B16915"/>
    <w:rsid w:val="00B41597"/>
    <w:rsid w:val="00C71C19"/>
    <w:rsid w:val="00C81C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9843B"/>
  <w15:chartTrackingRefBased/>
  <w15:docId w15:val="{C470CED7-2D97-4EDE-99C2-5E5F4FD4B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BCF"/>
    <w:pPr>
      <w:spacing w:after="0" w:line="360" w:lineRule="auto"/>
    </w:pPr>
    <w:rPr>
      <w:rFonts w:ascii="Arial" w:hAnsi="Arial" w:cs="Times New Roman"/>
      <w:sz w:val="24"/>
      <w:szCs w:val="24"/>
      <w:lang w:eastAsia="es-MX"/>
    </w:rPr>
  </w:style>
  <w:style w:type="paragraph" w:styleId="Ttulo1">
    <w:name w:val="heading 1"/>
    <w:basedOn w:val="Normal"/>
    <w:next w:val="Normal"/>
    <w:link w:val="Ttulo1Car"/>
    <w:autoRedefine/>
    <w:uiPriority w:val="9"/>
    <w:qFormat/>
    <w:rsid w:val="003D0F37"/>
    <w:pPr>
      <w:keepNext/>
      <w:keepLines/>
      <w:spacing w:before="240"/>
      <w:jc w:val="center"/>
      <w:outlineLvl w:val="0"/>
    </w:pPr>
    <w:rPr>
      <w:rFonts w:eastAsiaTheme="majorEastAsia" w:cstheme="majorBidi"/>
      <w:b/>
      <w:sz w:val="60"/>
      <w:szCs w:val="32"/>
    </w:rPr>
  </w:style>
  <w:style w:type="paragraph" w:styleId="Ttulo2">
    <w:name w:val="heading 2"/>
    <w:basedOn w:val="Normal"/>
    <w:next w:val="Normal"/>
    <w:link w:val="Ttulo2Car"/>
    <w:autoRedefine/>
    <w:uiPriority w:val="9"/>
    <w:unhideWhenUsed/>
    <w:qFormat/>
    <w:rsid w:val="008B0BCF"/>
    <w:pPr>
      <w:keepNext/>
      <w:keepLines/>
      <w:spacing w:before="40"/>
      <w:outlineLvl w:val="1"/>
    </w:pPr>
    <w:rPr>
      <w:rFonts w:eastAsia="Arial" w:cs="Arial"/>
      <w:b/>
      <w:sz w:val="26"/>
      <w:szCs w:val="26"/>
    </w:rPr>
  </w:style>
  <w:style w:type="paragraph" w:styleId="Ttulo3">
    <w:name w:val="heading 3"/>
    <w:basedOn w:val="Normal"/>
    <w:next w:val="Normal"/>
    <w:link w:val="Ttulo3Car"/>
    <w:autoRedefine/>
    <w:uiPriority w:val="9"/>
    <w:unhideWhenUsed/>
    <w:qFormat/>
    <w:rsid w:val="008B0BCF"/>
    <w:pPr>
      <w:keepNext/>
      <w:keepLines/>
      <w:spacing w:before="40"/>
      <w:outlineLvl w:val="2"/>
    </w:pPr>
    <w:rPr>
      <w:rFonts w:eastAsiaTheme="majorEastAsia" w:cstheme="majorBidi"/>
      <w:b/>
      <w:i/>
    </w:rPr>
  </w:style>
  <w:style w:type="paragraph" w:styleId="Ttulo4">
    <w:name w:val="heading 4"/>
    <w:basedOn w:val="Normal"/>
    <w:next w:val="Normal"/>
    <w:link w:val="Ttulo4Car"/>
    <w:autoRedefine/>
    <w:uiPriority w:val="9"/>
    <w:semiHidden/>
    <w:unhideWhenUsed/>
    <w:qFormat/>
    <w:rsid w:val="00930049"/>
    <w:pPr>
      <w:keepNext/>
      <w:keepLines/>
      <w:spacing w:before="40"/>
      <w:outlineLvl w:val="3"/>
    </w:pPr>
    <w:rPr>
      <w:rFonts w:eastAsiaTheme="majorEastAsia"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0F37"/>
    <w:rPr>
      <w:rFonts w:ascii="Arial" w:eastAsiaTheme="majorEastAsia" w:hAnsi="Arial" w:cstheme="majorBidi"/>
      <w:b/>
      <w:sz w:val="60"/>
      <w:szCs w:val="32"/>
      <w:lang w:eastAsia="es-MX"/>
    </w:rPr>
  </w:style>
  <w:style w:type="character" w:customStyle="1" w:styleId="Ttulo3Car">
    <w:name w:val="Título 3 Car"/>
    <w:basedOn w:val="Fuentedeprrafopredeter"/>
    <w:link w:val="Ttulo3"/>
    <w:uiPriority w:val="9"/>
    <w:rsid w:val="008B0BCF"/>
    <w:rPr>
      <w:rFonts w:ascii="Arial" w:eastAsiaTheme="majorEastAsia" w:hAnsi="Arial" w:cstheme="majorBidi"/>
      <w:b/>
      <w:i/>
      <w:sz w:val="24"/>
      <w:szCs w:val="24"/>
      <w:lang w:eastAsia="es-MX"/>
    </w:rPr>
  </w:style>
  <w:style w:type="character" w:customStyle="1" w:styleId="Ttulo2Car">
    <w:name w:val="Título 2 Car"/>
    <w:basedOn w:val="Fuentedeprrafopredeter"/>
    <w:link w:val="Ttulo2"/>
    <w:uiPriority w:val="9"/>
    <w:rsid w:val="008B0BCF"/>
    <w:rPr>
      <w:rFonts w:ascii="Arial" w:eastAsia="Arial" w:hAnsi="Arial" w:cs="Arial"/>
      <w:b/>
      <w:sz w:val="26"/>
      <w:szCs w:val="26"/>
      <w:lang w:eastAsia="es-MX"/>
    </w:rPr>
  </w:style>
  <w:style w:type="character" w:customStyle="1" w:styleId="Ttulo4Car">
    <w:name w:val="Título 4 Car"/>
    <w:basedOn w:val="Fuentedeprrafopredeter"/>
    <w:link w:val="Ttulo4"/>
    <w:uiPriority w:val="9"/>
    <w:semiHidden/>
    <w:rsid w:val="00930049"/>
    <w:rPr>
      <w:rFonts w:ascii="Arial" w:eastAsiaTheme="majorEastAsia" w:hAnsi="Arial" w:cstheme="majorBidi"/>
      <w:i/>
      <w:iCs/>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318</Words>
  <Characters>1755</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cbustosyanez@gmail.com</dc:creator>
  <cp:keywords/>
  <dc:description/>
  <cp:lastModifiedBy>cbustosyanez@gmail.com</cp:lastModifiedBy>
  <cp:revision>1</cp:revision>
  <dcterms:created xsi:type="dcterms:W3CDTF">2026-03-10T20:47:00Z</dcterms:created>
  <dcterms:modified xsi:type="dcterms:W3CDTF">2026-03-10T20:49:00Z</dcterms:modified>
</cp:coreProperties>
</file>