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1962F" w14:textId="2F496CF7" w:rsidR="00481BBC" w:rsidRPr="009B1B28" w:rsidRDefault="009B1B28" w:rsidP="009B1B2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B1B28">
        <w:rPr>
          <w:rFonts w:ascii="Arial" w:hAnsi="Arial" w:cs="Arial"/>
          <w:b/>
          <w:bCs/>
          <w:sz w:val="32"/>
          <w:szCs w:val="32"/>
        </w:rPr>
        <w:t xml:space="preserve">KRC </w:t>
      </w:r>
      <w:r w:rsidR="007F76EE">
        <w:rPr>
          <w:rFonts w:ascii="Arial" w:hAnsi="Arial" w:cs="Arial"/>
          <w:b/>
          <w:bCs/>
          <w:sz w:val="32"/>
          <w:szCs w:val="32"/>
        </w:rPr>
        <w:t xml:space="preserve">data </w:t>
      </w:r>
      <w:proofErr w:type="gramStart"/>
      <w:r w:rsidR="007F76EE">
        <w:rPr>
          <w:rFonts w:ascii="Arial" w:hAnsi="Arial" w:cs="Arial"/>
          <w:b/>
          <w:bCs/>
          <w:sz w:val="32"/>
          <w:szCs w:val="32"/>
        </w:rPr>
        <w:t>loggers</w:t>
      </w:r>
      <w:proofErr w:type="gramEnd"/>
      <w:r w:rsidRPr="009B1B28">
        <w:rPr>
          <w:rFonts w:ascii="Arial" w:hAnsi="Arial" w:cs="Arial"/>
          <w:b/>
          <w:bCs/>
          <w:sz w:val="32"/>
          <w:szCs w:val="32"/>
        </w:rPr>
        <w:t xml:space="preserve"> metadata</w:t>
      </w:r>
    </w:p>
    <w:p w14:paraId="0D585FEE" w14:textId="58FFC730" w:rsidR="009B1B28" w:rsidRDefault="009B1B28">
      <w:pPr>
        <w:rPr>
          <w:rFonts w:ascii="Arial" w:hAnsi="Arial" w:cs="Arial"/>
          <w:b/>
          <w:bCs/>
        </w:rPr>
      </w:pPr>
    </w:p>
    <w:p w14:paraId="40235298" w14:textId="1E1D6BBA" w:rsidR="001D1549" w:rsidRDefault="007F76EE">
      <w:pPr>
        <w:rPr>
          <w:rFonts w:ascii="Arial" w:hAnsi="Arial" w:cs="Arial"/>
        </w:rPr>
      </w:pPr>
      <w:r w:rsidRPr="007F76EE">
        <w:rPr>
          <w:rFonts w:ascii="Arial" w:hAnsi="Arial" w:cs="Arial"/>
          <w:b/>
          <w:bCs/>
        </w:rPr>
        <w:t>TMS-4 loggers</w:t>
      </w:r>
      <w:r w:rsidR="009B1B2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Around our study sites, we installed 20 TMS-4 loggers (</w:t>
      </w:r>
      <w:r w:rsidRPr="007F76EE">
        <w:rPr>
          <w:rFonts w:ascii="Arial" w:hAnsi="Arial" w:cs="Arial"/>
        </w:rPr>
        <w:t>https://tomst.com/web/en/systems/tms/tms-4/</w:t>
      </w:r>
      <w:r>
        <w:rPr>
          <w:rFonts w:ascii="Arial" w:hAnsi="Arial" w:cs="Arial"/>
        </w:rPr>
        <w:t>)</w:t>
      </w:r>
      <w:r w:rsidR="009B1B2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These loggers measure soil temperature </w:t>
      </w:r>
      <w:r w:rsidR="002737DC">
        <w:rPr>
          <w:rFonts w:ascii="Arial" w:hAnsi="Arial" w:cs="Arial"/>
        </w:rPr>
        <w:t xml:space="preserve">every 15 minutes </w:t>
      </w:r>
      <w:r>
        <w:rPr>
          <w:rFonts w:ascii="Arial" w:hAnsi="Arial" w:cs="Arial"/>
        </w:rPr>
        <w:t>at</w:t>
      </w:r>
      <w:r w:rsidRPr="007F76EE">
        <w:rPr>
          <w:rFonts w:ascii="Arial" w:hAnsi="Arial" w:cs="Arial"/>
        </w:rPr>
        <w:t xml:space="preserve"> a depth of -6, +2 and +15cm</w:t>
      </w:r>
      <w:r>
        <w:rPr>
          <w:rFonts w:ascii="Arial" w:hAnsi="Arial" w:cs="Arial"/>
        </w:rPr>
        <w:t xml:space="preserve">. They also measure electric conductivity of the soil, from which soil temperature can be calculated, using methods described </w:t>
      </w:r>
      <w:hyperlink r:id="rId5" w:history="1">
        <w:r w:rsidRPr="007F76EE">
          <w:rPr>
            <w:rStyle w:val="Hyperlink"/>
            <w:rFonts w:ascii="Arial" w:hAnsi="Arial" w:cs="Arial"/>
          </w:rPr>
          <w:t>here</w:t>
        </w:r>
      </w:hyperlink>
      <w:r>
        <w:rPr>
          <w:rFonts w:ascii="Arial" w:hAnsi="Arial" w:cs="Arial"/>
        </w:rPr>
        <w:t xml:space="preserve">. </w:t>
      </w:r>
      <w:r w:rsidRPr="007F76EE">
        <w:rPr>
          <w:rFonts w:ascii="Arial" w:hAnsi="Arial" w:cs="Arial"/>
          <w:b/>
          <w:bCs/>
        </w:rPr>
        <w:t>We set up two loggers at each of the pitfall transect</w:t>
      </w:r>
      <w:r>
        <w:rPr>
          <w:rFonts w:ascii="Arial" w:hAnsi="Arial" w:cs="Arial"/>
        </w:rPr>
        <w:t xml:space="preserve"> (BUGS project, see </w:t>
      </w:r>
      <w:r w:rsidRPr="007F76EE">
        <w:rPr>
          <w:rFonts w:ascii="Arial" w:hAnsi="Arial" w:cs="Arial"/>
          <w:i/>
          <w:iCs/>
        </w:rPr>
        <w:t>KRC pitfall trapping metadata</w:t>
      </w:r>
      <w:r>
        <w:rPr>
          <w:rFonts w:ascii="Arial" w:hAnsi="Arial" w:cs="Arial"/>
        </w:rPr>
        <w:t xml:space="preserve">), except for big dune (D15). One logger is located ca. 1 m east of the first and last pitfall base. </w:t>
      </w:r>
    </w:p>
    <w:p w14:paraId="5E850C1C" w14:textId="6CC87C40" w:rsidR="001D1549" w:rsidRDefault="001D1549" w:rsidP="001D1549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2539810" wp14:editId="280B226C">
            <wp:extent cx="2533525" cy="1574110"/>
            <wp:effectExtent l="0" t="0" r="0" b="1270"/>
            <wp:docPr id="45436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5550" name="Picture 45436555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58"/>
                    <a:stretch/>
                  </pic:blipFill>
                  <pic:spPr bwMode="auto">
                    <a:xfrm>
                      <a:off x="0" y="0"/>
                      <a:ext cx="2560366" cy="1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05CA5" w14:textId="77777777" w:rsidR="001D1549" w:rsidRDefault="001D1549">
      <w:pPr>
        <w:rPr>
          <w:rFonts w:ascii="Arial" w:hAnsi="Arial" w:cs="Arial"/>
        </w:rPr>
      </w:pPr>
    </w:p>
    <w:p w14:paraId="239AB9ED" w14:textId="230DA107" w:rsidR="008B40C0" w:rsidRDefault="007F76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also set up </w:t>
      </w:r>
      <w:r w:rsidRPr="007F76EE">
        <w:rPr>
          <w:rFonts w:ascii="Arial" w:hAnsi="Arial" w:cs="Arial"/>
          <w:b/>
          <w:bCs/>
        </w:rPr>
        <w:t xml:space="preserve">one logger in </w:t>
      </w:r>
      <w:r w:rsidR="008B40C0">
        <w:rPr>
          <w:rFonts w:ascii="Arial" w:hAnsi="Arial" w:cs="Arial"/>
          <w:b/>
          <w:bCs/>
        </w:rPr>
        <w:t xml:space="preserve">an </w:t>
      </w:r>
      <w:r w:rsidRPr="007F76EE">
        <w:rPr>
          <w:rFonts w:ascii="Arial" w:hAnsi="Arial" w:cs="Arial"/>
          <w:b/>
          <w:bCs/>
        </w:rPr>
        <w:t xml:space="preserve">OTC </w:t>
      </w:r>
      <w:r>
        <w:rPr>
          <w:rFonts w:ascii="Arial" w:hAnsi="Arial" w:cs="Arial"/>
        </w:rPr>
        <w:t xml:space="preserve">and another one just outside the OTC </w:t>
      </w:r>
      <w:r w:rsidR="008B40C0">
        <w:rPr>
          <w:rFonts w:ascii="Arial" w:hAnsi="Arial" w:cs="Arial"/>
        </w:rPr>
        <w:t xml:space="preserve">for the12 sites where we </w:t>
      </w:r>
      <w:r w:rsidR="008B40C0">
        <w:rPr>
          <w:rFonts w:ascii="Arial" w:hAnsi="Arial" w:cs="Arial"/>
        </w:rPr>
        <w:t xml:space="preserve">implemented the OTC experiments </w:t>
      </w:r>
      <w:r>
        <w:rPr>
          <w:rFonts w:ascii="Arial" w:hAnsi="Arial" w:cs="Arial"/>
        </w:rPr>
        <w:t xml:space="preserve">(see </w:t>
      </w:r>
      <w:r w:rsidRPr="007F76EE">
        <w:rPr>
          <w:rFonts w:ascii="Arial" w:hAnsi="Arial" w:cs="Arial"/>
          <w:i/>
          <w:iCs/>
        </w:rPr>
        <w:t>KRC OTC experiment metadata</w:t>
      </w:r>
      <w:r>
        <w:rPr>
          <w:rFonts w:ascii="Arial" w:hAnsi="Arial" w:cs="Arial"/>
        </w:rPr>
        <w:t xml:space="preserve">). </w:t>
      </w:r>
    </w:p>
    <w:p w14:paraId="5BDAFE50" w14:textId="77777777" w:rsidR="008B40C0" w:rsidRDefault="008B40C0">
      <w:pPr>
        <w:rPr>
          <w:rFonts w:ascii="Arial" w:hAnsi="Arial" w:cs="Arial"/>
        </w:rPr>
      </w:pPr>
    </w:p>
    <w:p w14:paraId="285AAA5F" w14:textId="5CE74901" w:rsidR="001D1549" w:rsidRDefault="008B40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OTCs are: </w:t>
      </w:r>
      <w:r w:rsidRPr="008B40C0">
        <w:rPr>
          <w:rFonts w:ascii="Arial" w:hAnsi="Arial" w:cs="Arial"/>
        </w:rPr>
        <w:t>JS4_OTC1</w:t>
      </w:r>
      <w:r>
        <w:rPr>
          <w:rFonts w:ascii="Arial" w:hAnsi="Arial" w:cs="Arial"/>
        </w:rPr>
        <w:t xml:space="preserve">; </w:t>
      </w:r>
      <w:r w:rsidRPr="008B40C0">
        <w:rPr>
          <w:rFonts w:ascii="Arial" w:hAnsi="Arial" w:cs="Arial"/>
        </w:rPr>
        <w:t>JS4_OTC2</w:t>
      </w:r>
      <w:r>
        <w:rPr>
          <w:rFonts w:ascii="Arial" w:hAnsi="Arial" w:cs="Arial"/>
        </w:rPr>
        <w:t>;</w:t>
      </w:r>
      <w:r w:rsidRPr="008B40C0">
        <w:t xml:space="preserve"> </w:t>
      </w:r>
      <w:r w:rsidRPr="008B40C0">
        <w:rPr>
          <w:rFonts w:ascii="Arial" w:hAnsi="Arial" w:cs="Arial"/>
        </w:rPr>
        <w:t>JN4_OTC1</w:t>
      </w:r>
      <w:r>
        <w:rPr>
          <w:rFonts w:ascii="Arial" w:hAnsi="Arial" w:cs="Arial"/>
        </w:rPr>
        <w:t xml:space="preserve">; JN2_OTC3; </w:t>
      </w:r>
      <w:r w:rsidRPr="008B40C0">
        <w:rPr>
          <w:rFonts w:ascii="Arial" w:hAnsi="Arial" w:cs="Arial"/>
        </w:rPr>
        <w:t>KRR4_OTC</w:t>
      </w:r>
      <w:r>
        <w:rPr>
          <w:rFonts w:ascii="Arial" w:hAnsi="Arial" w:cs="Arial"/>
        </w:rPr>
        <w:t xml:space="preserve"> (forgot to note which one); KRR1_OTC1 </w:t>
      </w:r>
    </w:p>
    <w:p w14:paraId="6C209ACC" w14:textId="77777777" w:rsidR="001D1549" w:rsidRDefault="001D1549">
      <w:pPr>
        <w:rPr>
          <w:rFonts w:ascii="Arial" w:hAnsi="Arial" w:cs="Arial"/>
        </w:rPr>
      </w:pPr>
    </w:p>
    <w:p w14:paraId="4EAA4565" w14:textId="18601101" w:rsidR="001D1549" w:rsidRDefault="001D154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0F0823" wp14:editId="42FE7F87">
            <wp:extent cx="2600220" cy="1733384"/>
            <wp:effectExtent l="0" t="0" r="3810" b="0"/>
            <wp:docPr id="9602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46597" name="Picture 960246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444" cy="17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38790F3B" wp14:editId="58E0CBFD">
            <wp:extent cx="2584173" cy="1722686"/>
            <wp:effectExtent l="0" t="0" r="0" b="5080"/>
            <wp:docPr id="359130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0520" name="Picture 3591305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653" cy="174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6E7E" w14:textId="77777777" w:rsidR="001D1549" w:rsidRDefault="001D1549">
      <w:pPr>
        <w:rPr>
          <w:rFonts w:ascii="Arial" w:hAnsi="Arial" w:cs="Arial"/>
        </w:rPr>
      </w:pPr>
    </w:p>
    <w:p w14:paraId="191990FA" w14:textId="23470731" w:rsidR="001D1549" w:rsidRDefault="007F76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Lastly, we set up </w:t>
      </w:r>
      <w:r w:rsidR="00C117E5" w:rsidRPr="00C117E5">
        <w:rPr>
          <w:rFonts w:ascii="Arial" w:hAnsi="Arial" w:cs="Arial"/>
          <w:b/>
          <w:bCs/>
        </w:rPr>
        <w:t xml:space="preserve">three </w:t>
      </w:r>
      <w:proofErr w:type="spellStart"/>
      <w:r w:rsidR="00C117E5" w:rsidRPr="00C117E5">
        <w:rPr>
          <w:rFonts w:ascii="Arial" w:hAnsi="Arial" w:cs="Arial"/>
          <w:b/>
          <w:bCs/>
        </w:rPr>
        <w:t>buriable</w:t>
      </w:r>
      <w:proofErr w:type="spellEnd"/>
      <w:r w:rsidR="00C117E5" w:rsidRPr="00C117E5">
        <w:rPr>
          <w:rFonts w:ascii="Arial" w:hAnsi="Arial" w:cs="Arial"/>
          <w:b/>
          <w:bCs/>
        </w:rPr>
        <w:t xml:space="preserve"> TMS loggers</w:t>
      </w:r>
      <w:r w:rsidR="00C117E5">
        <w:rPr>
          <w:rFonts w:ascii="Arial" w:hAnsi="Arial" w:cs="Arial"/>
        </w:rPr>
        <w:t xml:space="preserve"> 0.5 m belowground next to the three deployed subterranean pitfall traps by base 5/6 in J13, J5, H15 (</w:t>
      </w:r>
      <w:r w:rsidR="00C117E5" w:rsidRPr="007F76EE">
        <w:rPr>
          <w:rFonts w:ascii="Arial" w:hAnsi="Arial" w:cs="Arial"/>
          <w:i/>
          <w:iCs/>
        </w:rPr>
        <w:t>KRC pitfall trapping metadata</w:t>
      </w:r>
      <w:r w:rsidR="00C117E5">
        <w:rPr>
          <w:rFonts w:ascii="Arial" w:hAnsi="Arial" w:cs="Arial"/>
        </w:rPr>
        <w:t>).</w:t>
      </w:r>
      <w:r w:rsidR="00795512">
        <w:rPr>
          <w:rFonts w:ascii="Arial" w:hAnsi="Arial" w:cs="Arial"/>
        </w:rPr>
        <w:t xml:space="preserve"> </w:t>
      </w:r>
    </w:p>
    <w:p w14:paraId="7215111B" w14:textId="77777777" w:rsidR="001D1549" w:rsidRDefault="001D1549">
      <w:pPr>
        <w:rPr>
          <w:rFonts w:ascii="Arial" w:hAnsi="Arial" w:cs="Arial"/>
        </w:rPr>
      </w:pPr>
    </w:p>
    <w:p w14:paraId="7FDCF310" w14:textId="37C3A20B" w:rsidR="001D1549" w:rsidRDefault="001D1549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B3EFE36" wp14:editId="5A17A9FA">
            <wp:extent cx="1844703" cy="2179170"/>
            <wp:effectExtent l="0" t="0" r="0" b="5715"/>
            <wp:docPr id="40118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86147" name="Picture 40118614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46"/>
                    <a:stretch/>
                  </pic:blipFill>
                  <pic:spPr bwMode="auto">
                    <a:xfrm>
                      <a:off x="0" y="0"/>
                      <a:ext cx="1907678" cy="2253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72C4E25" wp14:editId="5A78746F">
            <wp:extent cx="3500212" cy="1971923"/>
            <wp:effectExtent l="0" t="0" r="5080" b="0"/>
            <wp:docPr id="182874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45778" name="Picture 18287457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485" cy="19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6EBC" w14:textId="77777777" w:rsidR="001D1549" w:rsidRDefault="001D1549">
      <w:pPr>
        <w:rPr>
          <w:rFonts w:ascii="Arial" w:hAnsi="Arial" w:cs="Arial"/>
        </w:rPr>
      </w:pPr>
    </w:p>
    <w:p w14:paraId="2C38D73B" w14:textId="5A65B974" w:rsidR="009B1B28" w:rsidRDefault="007955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ID of the loggers and deployment date and time are stored in </w:t>
      </w:r>
      <w:r w:rsidRPr="00795512">
        <w:rPr>
          <w:rFonts w:ascii="Arial" w:hAnsi="Arial" w:cs="Arial"/>
          <w:i/>
          <w:iCs/>
        </w:rPr>
        <w:t>logger_deployment.csv</w:t>
      </w:r>
      <w:r>
        <w:rPr>
          <w:rFonts w:ascii="Arial" w:hAnsi="Arial" w:cs="Arial"/>
        </w:rPr>
        <w:t xml:space="preserve"> in the </w:t>
      </w:r>
      <w:proofErr w:type="gramStart"/>
      <w:r>
        <w:rPr>
          <w:rFonts w:ascii="Arial" w:hAnsi="Arial" w:cs="Arial"/>
        </w:rPr>
        <w:t>loggers</w:t>
      </w:r>
      <w:proofErr w:type="gramEnd"/>
      <w:r>
        <w:rPr>
          <w:rFonts w:ascii="Arial" w:hAnsi="Arial" w:cs="Arial"/>
        </w:rPr>
        <w:t xml:space="preserve"> subfolder.</w:t>
      </w:r>
    </w:p>
    <w:p w14:paraId="78CFED76" w14:textId="77777777" w:rsidR="00795512" w:rsidRDefault="00795512">
      <w:pPr>
        <w:rPr>
          <w:rFonts w:ascii="Arial" w:hAnsi="Arial" w:cs="Arial"/>
        </w:rPr>
      </w:pPr>
    </w:p>
    <w:p w14:paraId="38D8F4B4" w14:textId="77777777" w:rsidR="00E23F8F" w:rsidRDefault="00E23F8F">
      <w:pPr>
        <w:rPr>
          <w:rFonts w:ascii="Arial" w:hAnsi="Arial" w:cs="Arial"/>
          <w:b/>
          <w:bCs/>
        </w:rPr>
      </w:pPr>
    </w:p>
    <w:p w14:paraId="32B04450" w14:textId="77777777" w:rsidR="00C117E5" w:rsidRDefault="009B1B28">
      <w:pPr>
        <w:rPr>
          <w:rFonts w:ascii="Arial" w:hAnsi="Arial" w:cs="Arial"/>
        </w:rPr>
      </w:pPr>
      <w:r w:rsidRPr="009B1B28">
        <w:rPr>
          <w:rFonts w:ascii="Arial" w:hAnsi="Arial" w:cs="Arial"/>
          <w:b/>
          <w:bCs/>
        </w:rPr>
        <w:t>Data collection</w:t>
      </w:r>
      <w:r>
        <w:rPr>
          <w:rFonts w:ascii="Arial" w:hAnsi="Arial" w:cs="Arial"/>
        </w:rPr>
        <w:t xml:space="preserve">: </w:t>
      </w:r>
      <w:r w:rsidR="00C117E5">
        <w:rPr>
          <w:rFonts w:ascii="Arial" w:hAnsi="Arial" w:cs="Arial"/>
        </w:rPr>
        <w:t xml:space="preserve">Data should be read out at every visit of a given site. To do so, the </w:t>
      </w:r>
      <w:r w:rsidR="00C117E5" w:rsidRPr="00C117E5">
        <w:rPr>
          <w:rFonts w:ascii="Arial" w:hAnsi="Arial" w:cs="Arial"/>
          <w:b/>
          <w:bCs/>
        </w:rPr>
        <w:t>team’s laptop and the TMD adaptor</w:t>
      </w:r>
      <w:r w:rsidR="00C117E5">
        <w:rPr>
          <w:rFonts w:ascii="Arial" w:hAnsi="Arial" w:cs="Arial"/>
        </w:rPr>
        <w:t xml:space="preserve"> (</w:t>
      </w:r>
      <w:r w:rsidR="00C117E5" w:rsidRPr="00C117E5">
        <w:rPr>
          <w:rFonts w:ascii="Arial" w:hAnsi="Arial" w:cs="Arial"/>
        </w:rPr>
        <w:t>https://tomst.com/web/en/systems/tms/tms-4-accessories/</w:t>
      </w:r>
      <w:r w:rsidR="00C117E5">
        <w:rPr>
          <w:rFonts w:ascii="Arial" w:hAnsi="Arial" w:cs="Arial"/>
        </w:rPr>
        <w:t xml:space="preserve">) must be taken to the field. The data is collected as follows: </w:t>
      </w:r>
    </w:p>
    <w:p w14:paraId="4A9BB3BB" w14:textId="77777777" w:rsidR="00C117E5" w:rsidRDefault="00C117E5">
      <w:pPr>
        <w:rPr>
          <w:rFonts w:ascii="Arial" w:hAnsi="Arial" w:cs="Arial"/>
        </w:rPr>
      </w:pPr>
    </w:p>
    <w:p w14:paraId="66C33604" w14:textId="03DDE2E2" w:rsidR="00C117E5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Make sure the logger has not been altered by animal activity (for example digging). If it has (for instance, the green part is exposed), cover with soil and make a note of damage and the ID of the logger (on the side) </w:t>
      </w:r>
    </w:p>
    <w:p w14:paraId="38221947" w14:textId="57800EC3" w:rsidR="00C117E5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Carefully remove the sunshield from the data logger without disturbing the logger in the soil</w:t>
      </w:r>
    </w:p>
    <w:p w14:paraId="44C02A03" w14:textId="04A1300C" w:rsidR="00C117E5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Make sure the TMD adaptor </w:t>
      </w:r>
      <w:r w:rsidRPr="00C117E5">
        <w:rPr>
          <w:rFonts w:ascii="Arial" w:hAnsi="Arial" w:cs="Arial"/>
          <w:color w:val="000000" w:themeColor="text1"/>
          <w:shd w:val="clear" w:color="auto" w:fill="FFFFFF"/>
        </w:rPr>
        <w:t>the top of the datalogger (silver top with TOMST logo)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Arial"/>
        </w:rPr>
        <w:t xml:space="preserve">have no sand on them </w:t>
      </w:r>
    </w:p>
    <w:p w14:paraId="026E6F10" w14:textId="5A3BF9E0" w:rsidR="00C117E5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 the laptop, open the </w:t>
      </w:r>
      <w:proofErr w:type="spellStart"/>
      <w:r>
        <w:rPr>
          <w:rFonts w:ascii="Arial" w:hAnsi="Arial" w:cs="Arial"/>
        </w:rPr>
        <w:t>Lolly</w:t>
      </w:r>
      <w:proofErr w:type="spellEnd"/>
      <w:r>
        <w:rPr>
          <w:rFonts w:ascii="Arial" w:hAnsi="Arial" w:cs="Arial"/>
        </w:rPr>
        <w:t xml:space="preserve"> software application</w:t>
      </w:r>
    </w:p>
    <w:p w14:paraId="6560DFFB" w14:textId="77777777" w:rsidR="00C117E5" w:rsidRPr="00C117E5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</w:t>
      </w:r>
      <w:r w:rsidRPr="00C117E5">
        <w:rPr>
          <w:rFonts w:ascii="Arial" w:hAnsi="Arial" w:cs="Arial"/>
          <w:color w:val="000000" w:themeColor="text1"/>
          <w:shd w:val="clear" w:color="auto" w:fill="FFFFFF"/>
        </w:rPr>
        <w:t xml:space="preserve">ttach </w:t>
      </w:r>
      <w:r>
        <w:rPr>
          <w:rFonts w:ascii="Arial" w:hAnsi="Arial" w:cs="Arial"/>
          <w:color w:val="000000" w:themeColor="text1"/>
          <w:shd w:val="clear" w:color="auto" w:fill="FFFFFF"/>
        </w:rPr>
        <w:t>TMD adaptor to the laptop using the USB cord</w:t>
      </w:r>
    </w:p>
    <w:p w14:paraId="3DA16689" w14:textId="77777777" w:rsidR="00C117E5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Attach </w:t>
      </w:r>
      <w:r w:rsidRPr="00C117E5">
        <w:rPr>
          <w:rFonts w:ascii="Arial" w:hAnsi="Arial" w:cs="Arial"/>
          <w:color w:val="000000" w:themeColor="text1"/>
          <w:shd w:val="clear" w:color="auto" w:fill="FFFFFF"/>
        </w:rPr>
        <w:t xml:space="preserve">the silver ring of the TMD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adaptor to the </w:t>
      </w:r>
      <w:r w:rsidRPr="00C117E5">
        <w:rPr>
          <w:rFonts w:ascii="Arial" w:hAnsi="Arial" w:cs="Arial"/>
          <w:color w:val="000000" w:themeColor="text1"/>
          <w:shd w:val="clear" w:color="auto" w:fill="FFFFFF"/>
        </w:rPr>
        <w:t>top of the datalogger and hold it in place</w:t>
      </w:r>
      <w:r w:rsidRPr="00C117E5">
        <w:rPr>
          <w:rFonts w:ascii="Arial" w:hAnsi="Arial" w:cs="Arial"/>
          <w:color w:val="000000" w:themeColor="text1"/>
        </w:rPr>
        <w:t xml:space="preserve"> </w:t>
      </w:r>
    </w:p>
    <w:p w14:paraId="21CBC364" w14:textId="77777777" w:rsidR="00C117E5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Look at the screen on </w:t>
      </w:r>
      <w:proofErr w:type="spellStart"/>
      <w:r>
        <w:rPr>
          <w:rFonts w:ascii="Arial" w:hAnsi="Arial" w:cs="Arial"/>
          <w:color w:val="000000" w:themeColor="text1"/>
        </w:rPr>
        <w:t>Lolly</w:t>
      </w:r>
      <w:proofErr w:type="spellEnd"/>
      <w:r>
        <w:rPr>
          <w:rFonts w:ascii="Arial" w:hAnsi="Arial" w:cs="Arial"/>
          <w:color w:val="000000" w:themeColor="text1"/>
        </w:rPr>
        <w:t xml:space="preserve"> application – you should track the data download. </w:t>
      </w:r>
    </w:p>
    <w:p w14:paraId="5B1EE5F5" w14:textId="5EB38DA4" w:rsidR="002D4741" w:rsidRDefault="00C117E5" w:rsidP="00C117E5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Detach the TMD adaptor when the download is </w:t>
      </w:r>
      <w:r w:rsidR="00795512">
        <w:rPr>
          <w:rFonts w:ascii="Arial" w:hAnsi="Arial" w:cs="Arial"/>
          <w:color w:val="000000" w:themeColor="text1"/>
        </w:rPr>
        <w:t>finished</w:t>
      </w:r>
      <w:r>
        <w:rPr>
          <w:rFonts w:ascii="Arial" w:hAnsi="Arial" w:cs="Arial"/>
          <w:color w:val="000000" w:themeColor="text1"/>
        </w:rPr>
        <w:t>.</w:t>
      </w:r>
    </w:p>
    <w:p w14:paraId="7C3A06A1" w14:textId="17570B48" w:rsidR="00795512" w:rsidRDefault="00C117E5" w:rsidP="00795512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The data will be </w:t>
      </w:r>
      <w:r w:rsidR="00795512">
        <w:rPr>
          <w:rFonts w:ascii="Arial" w:hAnsi="Arial" w:cs="Arial"/>
          <w:color w:val="000000" w:themeColor="text1"/>
        </w:rPr>
        <w:t xml:space="preserve">saved as “;” separated csv </w:t>
      </w:r>
      <w:r>
        <w:rPr>
          <w:rFonts w:ascii="Arial" w:hAnsi="Arial" w:cs="Arial"/>
          <w:color w:val="000000" w:themeColor="text1"/>
        </w:rPr>
        <w:t>in Program Files x 64/</w:t>
      </w:r>
      <w:proofErr w:type="spellStart"/>
      <w:r>
        <w:rPr>
          <w:rFonts w:ascii="Arial" w:hAnsi="Arial" w:cs="Arial"/>
          <w:color w:val="000000" w:themeColor="text1"/>
        </w:rPr>
        <w:t>Lolly</w:t>
      </w:r>
      <w:proofErr w:type="spellEnd"/>
      <w:r>
        <w:rPr>
          <w:rFonts w:ascii="Arial" w:hAnsi="Arial" w:cs="Arial"/>
          <w:color w:val="000000" w:themeColor="text1"/>
        </w:rPr>
        <w:t xml:space="preserve"> (or something like that; the folder is indicated in the application). The data files are named</w:t>
      </w:r>
      <w:r w:rsidR="00795512">
        <w:rPr>
          <w:rFonts w:ascii="Arial" w:hAnsi="Arial" w:cs="Arial"/>
          <w:color w:val="000000" w:themeColor="text1"/>
        </w:rPr>
        <w:t xml:space="preserve">: </w:t>
      </w:r>
      <w:r w:rsidR="00795512" w:rsidRPr="00795512">
        <w:rPr>
          <w:rFonts w:ascii="Arial" w:hAnsi="Arial" w:cs="Arial"/>
          <w:b/>
          <w:bCs/>
          <w:i/>
          <w:iCs/>
          <w:color w:val="000000" w:themeColor="text1"/>
        </w:rPr>
        <w:t>data_loggerID_year_month_day_0.csv</w:t>
      </w:r>
      <w:r w:rsidR="00795512">
        <w:rPr>
          <w:rFonts w:ascii="Arial" w:hAnsi="Arial" w:cs="Arial"/>
          <w:color w:val="000000" w:themeColor="text1"/>
        </w:rPr>
        <w:t xml:space="preserve"> </w:t>
      </w:r>
    </w:p>
    <w:p w14:paraId="43BE7266" w14:textId="269936FD" w:rsidR="00795512" w:rsidRDefault="00795512" w:rsidP="00795512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Please copy the csv into the loggers/</w:t>
      </w:r>
      <w:proofErr w:type="spellStart"/>
      <w:r>
        <w:rPr>
          <w:rFonts w:ascii="Arial" w:hAnsi="Arial" w:cs="Arial"/>
          <w:color w:val="000000" w:themeColor="text1"/>
        </w:rPr>
        <w:t>dataLolly</w:t>
      </w:r>
      <w:proofErr w:type="spellEnd"/>
      <w:r>
        <w:rPr>
          <w:rFonts w:ascii="Arial" w:hAnsi="Arial" w:cs="Arial"/>
          <w:color w:val="000000" w:themeColor="text1"/>
        </w:rPr>
        <w:t xml:space="preserve"> sub-folder on one shared Dropbox folder.</w:t>
      </w:r>
    </w:p>
    <w:p w14:paraId="524E3259" w14:textId="77777777" w:rsidR="00795512" w:rsidRDefault="00795512" w:rsidP="00795512">
      <w:pPr>
        <w:ind w:left="360"/>
        <w:rPr>
          <w:rFonts w:ascii="Arial" w:hAnsi="Arial" w:cs="Arial"/>
          <w:color w:val="000000" w:themeColor="text1"/>
        </w:rPr>
      </w:pPr>
    </w:p>
    <w:p w14:paraId="0A3FD109" w14:textId="5BBA5DB8" w:rsidR="00795512" w:rsidRPr="00795512" w:rsidRDefault="00795512" w:rsidP="00795512">
      <w:pPr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For more info on the software, there is a “</w:t>
      </w:r>
      <w:r w:rsidRPr="00795512">
        <w:rPr>
          <w:rFonts w:ascii="Arial" w:hAnsi="Arial" w:cs="Arial"/>
          <w:i/>
          <w:iCs/>
          <w:color w:val="000000" w:themeColor="text1"/>
        </w:rPr>
        <w:t>Lolly-software-Handbook.pdf</w:t>
      </w:r>
      <w:r>
        <w:rPr>
          <w:rFonts w:ascii="Arial" w:hAnsi="Arial" w:cs="Arial"/>
          <w:color w:val="000000" w:themeColor="text1"/>
        </w:rPr>
        <w:t>”</w:t>
      </w:r>
      <w:r w:rsidRPr="00795512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in our shared folder.</w:t>
      </w:r>
    </w:p>
    <w:p w14:paraId="58059B7F" w14:textId="77777777" w:rsidR="00E23F8F" w:rsidRDefault="00E23F8F">
      <w:pPr>
        <w:rPr>
          <w:rFonts w:ascii="Arial" w:hAnsi="Arial" w:cs="Arial"/>
        </w:rPr>
      </w:pPr>
    </w:p>
    <w:p w14:paraId="4194FA30" w14:textId="77777777" w:rsidR="009B1B28" w:rsidRPr="009B1B28" w:rsidRDefault="009B1B28">
      <w:pPr>
        <w:rPr>
          <w:rFonts w:ascii="Arial" w:hAnsi="Arial" w:cs="Arial"/>
          <w:b/>
          <w:bCs/>
        </w:rPr>
      </w:pPr>
    </w:p>
    <w:sectPr w:rsidR="009B1B28" w:rsidRPr="009B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D3030"/>
    <w:multiLevelType w:val="hybridMultilevel"/>
    <w:tmpl w:val="8440ED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F0132"/>
    <w:multiLevelType w:val="hybridMultilevel"/>
    <w:tmpl w:val="235CF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893075">
    <w:abstractNumId w:val="0"/>
  </w:num>
  <w:num w:numId="2" w16cid:durableId="12879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28"/>
    <w:rsid w:val="00013B17"/>
    <w:rsid w:val="00044E36"/>
    <w:rsid w:val="0009517B"/>
    <w:rsid w:val="00140702"/>
    <w:rsid w:val="001D1549"/>
    <w:rsid w:val="00237F5B"/>
    <w:rsid w:val="002737DC"/>
    <w:rsid w:val="002D4741"/>
    <w:rsid w:val="00436FA7"/>
    <w:rsid w:val="00481BBC"/>
    <w:rsid w:val="005D3914"/>
    <w:rsid w:val="00795512"/>
    <w:rsid w:val="007F76EE"/>
    <w:rsid w:val="00817EEA"/>
    <w:rsid w:val="00876B91"/>
    <w:rsid w:val="008B40C0"/>
    <w:rsid w:val="009B1AB0"/>
    <w:rsid w:val="009B1B28"/>
    <w:rsid w:val="009E78C7"/>
    <w:rsid w:val="00A510A8"/>
    <w:rsid w:val="00AE1A24"/>
    <w:rsid w:val="00B5405B"/>
    <w:rsid w:val="00C117E5"/>
    <w:rsid w:val="00C50B2E"/>
    <w:rsid w:val="00DA7211"/>
    <w:rsid w:val="00DD5F47"/>
    <w:rsid w:val="00E23F8F"/>
    <w:rsid w:val="00EC3412"/>
    <w:rsid w:val="00F72BB0"/>
    <w:rsid w:val="00FC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86F8"/>
  <w15:chartTrackingRefBased/>
  <w15:docId w15:val="{2E0A34AE-33B3-D341-8356-AE06E4C4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F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76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1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chrome-extension://efaidnbmnnnibpcajpcglclefindmkaj/https:/tomst.com/web/wp-content/uploads/2023/05/TMS-calibration-handbook.pdf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paniw</dc:creator>
  <cp:keywords/>
  <dc:description/>
  <cp:lastModifiedBy>maria paniw</cp:lastModifiedBy>
  <cp:revision>5</cp:revision>
  <dcterms:created xsi:type="dcterms:W3CDTF">2024-02-26T08:51:00Z</dcterms:created>
  <dcterms:modified xsi:type="dcterms:W3CDTF">2025-04-01T15:11:00Z</dcterms:modified>
</cp:coreProperties>
</file>