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2A28D" w14:textId="4E1F16AB" w:rsidR="00E74D10" w:rsidRPr="00700506" w:rsidRDefault="00E74D10" w:rsidP="00931E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E74D10">
        <w:rPr>
          <w:rFonts w:ascii="Times New Roman" w:hAnsi="Times New Roman" w:cs="Times New Roman"/>
          <w:b/>
          <w:sz w:val="24"/>
          <w:szCs w:val="24"/>
          <w:lang w:val="es-ES"/>
        </w:rPr>
        <w:t>Tarea 3 -Articulación de objetivos, metodología y tiempos de ejecución</w:t>
      </w:r>
    </w:p>
    <w:p w14:paraId="6077992B" w14:textId="77777777" w:rsidR="00E74D10" w:rsidRPr="00700506" w:rsidRDefault="00E74D10" w:rsidP="00931E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761E3D8" w14:textId="77777777" w:rsidR="00643202" w:rsidRPr="00700506" w:rsidRDefault="00643202" w:rsidP="00931E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700506">
        <w:rPr>
          <w:rFonts w:ascii="Times New Roman" w:hAnsi="Times New Roman" w:cs="Times New Roman"/>
          <w:sz w:val="24"/>
          <w:szCs w:val="24"/>
          <w:lang w:val="es-ES"/>
        </w:rPr>
        <w:t>Ana María Tibaduiza Vega</w:t>
      </w:r>
    </w:p>
    <w:p w14:paraId="316EB441" w14:textId="77777777" w:rsidR="00643202" w:rsidRDefault="00643202" w:rsidP="00931E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700506">
        <w:rPr>
          <w:rFonts w:ascii="Times New Roman" w:hAnsi="Times New Roman" w:cs="Times New Roman"/>
          <w:sz w:val="24"/>
          <w:szCs w:val="24"/>
          <w:lang w:val="es-ES"/>
        </w:rPr>
        <w:t>Delson Alejandro Pulido Silva</w:t>
      </w:r>
    </w:p>
    <w:p w14:paraId="7F05F2D5" w14:textId="7C622EAB" w:rsidR="00643202" w:rsidRPr="00E74D10" w:rsidRDefault="00643202" w:rsidP="00931E13">
      <w:pPr>
        <w:pStyle w:val="LO-Normal"/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  <w:t>Diego Fernando Martínez</w:t>
      </w:r>
    </w:p>
    <w:p w14:paraId="2241D1B0" w14:textId="19AA6CE8" w:rsidR="00643202" w:rsidRDefault="00643202" w:rsidP="00931E13">
      <w:pPr>
        <w:pStyle w:val="LO-Normal"/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</w:pPr>
      <w:r w:rsidRPr="00E74D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  <w:t xml:space="preserve">Gabriel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  <w:t>F</w:t>
      </w:r>
      <w:r w:rsidRPr="00E74D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  <w:t xml:space="preserve">ajardo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  <w:t>B</w:t>
      </w:r>
      <w:r w:rsidRPr="00E74D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  <w:t>astidas</w:t>
      </w:r>
    </w:p>
    <w:p w14:paraId="3A20B7CE" w14:textId="77777777" w:rsidR="0055530D" w:rsidRDefault="0055530D" w:rsidP="00931E13">
      <w:pPr>
        <w:pStyle w:val="LO-Normal"/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</w:pPr>
    </w:p>
    <w:p w14:paraId="40172DA8" w14:textId="77777777" w:rsidR="00E74D10" w:rsidRPr="00700506" w:rsidRDefault="00E74D10" w:rsidP="00931E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700506">
        <w:rPr>
          <w:rFonts w:ascii="Times New Roman" w:hAnsi="Times New Roman" w:cs="Times New Roman"/>
          <w:sz w:val="24"/>
          <w:szCs w:val="24"/>
          <w:lang w:val="es-ES"/>
        </w:rPr>
        <w:t>Grupo 89</w:t>
      </w:r>
    </w:p>
    <w:p w14:paraId="543F5874" w14:textId="77777777" w:rsidR="00E74D10" w:rsidRPr="00700506" w:rsidRDefault="00E74D10" w:rsidP="00931E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D312C7D" w14:textId="77777777" w:rsidR="00E74D10" w:rsidRPr="00700506" w:rsidRDefault="00E74D10" w:rsidP="00931E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700506">
        <w:rPr>
          <w:rFonts w:ascii="Times New Roman" w:hAnsi="Times New Roman" w:cs="Times New Roman"/>
          <w:sz w:val="24"/>
          <w:szCs w:val="24"/>
          <w:lang w:val="es-ES"/>
        </w:rPr>
        <w:t>Tutor</w:t>
      </w:r>
    </w:p>
    <w:p w14:paraId="028482CB" w14:textId="690B258E" w:rsidR="00E74D10" w:rsidRPr="00700506" w:rsidRDefault="00E74D10" w:rsidP="00931E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700506">
        <w:rPr>
          <w:rFonts w:ascii="Times New Roman" w:hAnsi="Times New Roman" w:cs="Times New Roman"/>
          <w:sz w:val="24"/>
          <w:szCs w:val="24"/>
          <w:lang w:val="es-ES"/>
        </w:rPr>
        <w:t>Brayan Andrés López</w:t>
      </w:r>
    </w:p>
    <w:p w14:paraId="309A4EE2" w14:textId="77777777" w:rsidR="00E74D10" w:rsidRPr="00700506" w:rsidRDefault="00E74D10" w:rsidP="00931E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F75B1B8" w14:textId="77777777" w:rsidR="00E74D10" w:rsidRPr="00700506" w:rsidRDefault="00E74D10" w:rsidP="00931E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12FBE07" w14:textId="2A6EA31F" w:rsidR="00E74D10" w:rsidRPr="00700506" w:rsidRDefault="00E74D10" w:rsidP="00931E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Abril </w:t>
      </w:r>
      <w:r w:rsidRPr="00700506">
        <w:rPr>
          <w:rFonts w:ascii="Times New Roman" w:hAnsi="Times New Roman" w:cs="Times New Roman"/>
          <w:sz w:val="24"/>
          <w:szCs w:val="24"/>
        </w:rPr>
        <w:t>2021</w:t>
      </w:r>
    </w:p>
    <w:p w14:paraId="2F99F8BF" w14:textId="77777777" w:rsidR="00E74D10" w:rsidRPr="00700506" w:rsidRDefault="00E74D10" w:rsidP="00931E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E887EF" w14:textId="77777777" w:rsidR="00E74D10" w:rsidRPr="00700506" w:rsidRDefault="00E74D10" w:rsidP="00931E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0506">
        <w:rPr>
          <w:rFonts w:ascii="Times New Roman" w:hAnsi="Times New Roman" w:cs="Times New Roman"/>
          <w:sz w:val="24"/>
          <w:szCs w:val="24"/>
        </w:rPr>
        <w:t>Universidad Nacional Abierta y a Distancia UNAD</w:t>
      </w:r>
    </w:p>
    <w:p w14:paraId="33B3BFC8" w14:textId="77777777" w:rsidR="00E74D10" w:rsidRPr="00700506" w:rsidRDefault="00E74D10" w:rsidP="00931E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0506">
        <w:rPr>
          <w:rFonts w:ascii="Times New Roman" w:hAnsi="Times New Roman" w:cs="Times New Roman"/>
          <w:sz w:val="24"/>
          <w:szCs w:val="24"/>
        </w:rPr>
        <w:t>Escuela de Ciencias Sociales Artes y Humanidades ECSAH</w:t>
      </w:r>
    </w:p>
    <w:p w14:paraId="11D11AF9" w14:textId="77777777" w:rsidR="00E74D10" w:rsidRPr="00700506" w:rsidRDefault="00E74D10" w:rsidP="00931E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0506">
        <w:rPr>
          <w:rFonts w:ascii="Times New Roman" w:hAnsi="Times New Roman" w:cs="Times New Roman"/>
          <w:sz w:val="24"/>
          <w:szCs w:val="24"/>
        </w:rPr>
        <w:t>Diseño de proyectos sociales 400002</w:t>
      </w:r>
    </w:p>
    <w:p w14:paraId="698A9323" w14:textId="643B4FA5" w:rsidR="0031386F" w:rsidRPr="002C33D4" w:rsidRDefault="009118D7" w:rsidP="00931E13">
      <w:pPr>
        <w:spacing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C33D4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Tabla </w:t>
      </w:r>
      <w:r w:rsidR="00336BE9" w:rsidRPr="002C33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1 Articulación</w:t>
      </w:r>
      <w:r w:rsidRPr="002C33D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objetivos-metodología</w:t>
      </w:r>
    </w:p>
    <w:tbl>
      <w:tblPr>
        <w:tblStyle w:val="Tablaconcuadrcula"/>
        <w:tblW w:w="8900" w:type="dxa"/>
        <w:tblLook w:val="04A0" w:firstRow="1" w:lastRow="0" w:firstColumn="1" w:lastColumn="0" w:noHBand="0" w:noVBand="1"/>
      </w:tblPr>
      <w:tblGrid>
        <w:gridCol w:w="2689"/>
        <w:gridCol w:w="2268"/>
        <w:gridCol w:w="3943"/>
      </w:tblGrid>
      <w:tr w:rsidR="009118D7" w:rsidRPr="002C33D4" w14:paraId="4A7381E9" w14:textId="77777777" w:rsidTr="005A7DCB">
        <w:trPr>
          <w:trHeight w:val="658"/>
        </w:trPr>
        <w:tc>
          <w:tcPr>
            <w:tcW w:w="2689" w:type="dxa"/>
          </w:tcPr>
          <w:p w14:paraId="043B9A4F" w14:textId="77777777" w:rsidR="009118D7" w:rsidRPr="002C33D4" w:rsidRDefault="009118D7" w:rsidP="00931E1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OBJETIVOS ESPECÍFICOS</w:t>
            </w:r>
          </w:p>
        </w:tc>
        <w:tc>
          <w:tcPr>
            <w:tcW w:w="2268" w:type="dxa"/>
          </w:tcPr>
          <w:p w14:paraId="7D9B6E16" w14:textId="77777777" w:rsidR="009118D7" w:rsidRPr="002C33D4" w:rsidRDefault="009118D7" w:rsidP="00931E1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NOMINACIÓN DE LAS ESTRATEGIAS</w:t>
            </w:r>
          </w:p>
        </w:tc>
        <w:tc>
          <w:tcPr>
            <w:tcW w:w="3943" w:type="dxa"/>
          </w:tcPr>
          <w:p w14:paraId="4EDB3455" w14:textId="77777777" w:rsidR="009118D7" w:rsidRPr="002C33D4" w:rsidRDefault="009118D7" w:rsidP="00931E1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</w:tr>
      <w:tr w:rsidR="00924A36" w:rsidRPr="002C33D4" w14:paraId="4E4C4A57" w14:textId="77777777" w:rsidTr="005A7DCB">
        <w:trPr>
          <w:trHeight w:val="815"/>
        </w:trPr>
        <w:tc>
          <w:tcPr>
            <w:tcW w:w="2689" w:type="dxa"/>
          </w:tcPr>
          <w:p w14:paraId="4C4BAA1A" w14:textId="01A05046" w:rsidR="00924A36" w:rsidRPr="002C33D4" w:rsidRDefault="00924A36" w:rsidP="00931E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3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Implementar un plan de educación vial, donde peatones, ciclistas</w:t>
            </w:r>
            <w:r w:rsidR="005A7D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C33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 conductores de vehículos motorizados puedan auto cuidarse siguiendo todas las normas de seguridad que son necesarias en la vía, todo esto, realizando actividades junto con las autoridades de tránsito y transponte, en la ciudad de Bogotá Localidad Rafael Uribe.</w:t>
            </w:r>
          </w:p>
        </w:tc>
        <w:tc>
          <w:tcPr>
            <w:tcW w:w="2268" w:type="dxa"/>
          </w:tcPr>
          <w:p w14:paraId="0DC974DA" w14:textId="309EBB6D" w:rsidR="00924A36" w:rsidRPr="002C33D4" w:rsidRDefault="008D6308" w:rsidP="00931E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C33D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Educación vial</w:t>
            </w:r>
            <w:r w:rsidR="00C94404" w:rsidRPr="002C33D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, me cuido te cuido </w:t>
            </w:r>
          </w:p>
        </w:tc>
        <w:tc>
          <w:tcPr>
            <w:tcW w:w="3943" w:type="dxa"/>
          </w:tcPr>
          <w:p w14:paraId="049474AA" w14:textId="6C6C6E5E" w:rsidR="00924A36" w:rsidRPr="002C33D4" w:rsidRDefault="008D6308" w:rsidP="00931E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sz w:val="24"/>
                <w:szCs w:val="24"/>
              </w:rPr>
              <w:t>La estrategia Educación vial</w:t>
            </w:r>
            <w:r w:rsidR="00404A58">
              <w:rPr>
                <w:rFonts w:ascii="Times New Roman" w:hAnsi="Times New Roman" w:cs="Times New Roman"/>
                <w:sz w:val="24"/>
                <w:szCs w:val="24"/>
              </w:rPr>
              <w:t>, me cuido te cuido;</w:t>
            </w:r>
            <w:r w:rsidRPr="002C33D4">
              <w:rPr>
                <w:rFonts w:ascii="Times New Roman" w:hAnsi="Times New Roman" w:cs="Times New Roman"/>
                <w:sz w:val="24"/>
                <w:szCs w:val="24"/>
              </w:rPr>
              <w:t xml:space="preserve"> consiste en dar a conocer a la comunidad (Peatones, </w:t>
            </w:r>
            <w:r w:rsidRPr="002C33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ciclistas y conductores de vehículos motorizados),</w:t>
            </w:r>
            <w:r w:rsidRPr="002C33D4">
              <w:rPr>
                <w:rFonts w:ascii="Times New Roman" w:hAnsi="Times New Roman" w:cs="Times New Roman"/>
                <w:sz w:val="24"/>
                <w:szCs w:val="24"/>
              </w:rPr>
              <w:t xml:space="preserve"> las normas de seguridad vial que cada uno de</w:t>
            </w:r>
            <w:r w:rsidR="00C94404" w:rsidRPr="002C33D4">
              <w:rPr>
                <w:rFonts w:ascii="Times New Roman" w:hAnsi="Times New Roman" w:cs="Times New Roman"/>
                <w:sz w:val="24"/>
                <w:szCs w:val="24"/>
              </w:rPr>
              <w:t xml:space="preserve"> seguir </w:t>
            </w:r>
            <w:r w:rsidR="00404A58">
              <w:rPr>
                <w:rFonts w:ascii="Times New Roman" w:hAnsi="Times New Roman" w:cs="Times New Roman"/>
                <w:sz w:val="24"/>
                <w:szCs w:val="24"/>
              </w:rPr>
              <w:t>teniendo en cuanta el</w:t>
            </w:r>
            <w:r w:rsidR="00C94404" w:rsidRPr="002C33D4">
              <w:rPr>
                <w:rFonts w:ascii="Times New Roman" w:hAnsi="Times New Roman" w:cs="Times New Roman"/>
                <w:sz w:val="24"/>
                <w:szCs w:val="24"/>
              </w:rPr>
              <w:t xml:space="preserve"> rol </w:t>
            </w:r>
            <w:r w:rsidR="00404A58">
              <w:rPr>
                <w:rFonts w:ascii="Times New Roman" w:hAnsi="Times New Roman" w:cs="Times New Roman"/>
                <w:sz w:val="24"/>
                <w:szCs w:val="24"/>
              </w:rPr>
              <w:t xml:space="preserve">que cada </w:t>
            </w:r>
            <w:r w:rsidR="005A7DCB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 w:rsidR="00404A58">
              <w:rPr>
                <w:rFonts w:ascii="Times New Roman" w:hAnsi="Times New Roman" w:cs="Times New Roman"/>
                <w:sz w:val="24"/>
                <w:szCs w:val="24"/>
              </w:rPr>
              <w:t xml:space="preserve">desempeña </w:t>
            </w:r>
            <w:r w:rsidR="00C94404" w:rsidRPr="002C33D4">
              <w:rPr>
                <w:rFonts w:ascii="Times New Roman" w:hAnsi="Times New Roman" w:cs="Times New Roman"/>
                <w:sz w:val="24"/>
                <w:szCs w:val="24"/>
              </w:rPr>
              <w:t>en la vía, para generar conciencia del autocuidado que lleva a cuidar a los demás. Esta estrategia se realizará junto con las autoridades de tránsito, quienes capacitarán a 20 voluntarios</w:t>
            </w:r>
            <w:r w:rsidR="00214598">
              <w:rPr>
                <w:rFonts w:ascii="Times New Roman" w:hAnsi="Times New Roman" w:cs="Times New Roman"/>
                <w:sz w:val="24"/>
                <w:szCs w:val="24"/>
              </w:rPr>
              <w:t xml:space="preserve">, para ser seleccionados los interesados deben contactarse con el coordinador, sus datos de contacto serán publicados en redes sociales de la administración y la secretaria de seguridad. Los </w:t>
            </w:r>
            <w:r w:rsidR="007A35B7">
              <w:rPr>
                <w:rFonts w:ascii="Times New Roman" w:hAnsi="Times New Roman" w:cs="Times New Roman"/>
                <w:sz w:val="24"/>
                <w:szCs w:val="24"/>
              </w:rPr>
              <w:t xml:space="preserve">seleccionados </w:t>
            </w:r>
            <w:r w:rsidR="00214598">
              <w:rPr>
                <w:rFonts w:ascii="Times New Roman" w:hAnsi="Times New Roman" w:cs="Times New Roman"/>
                <w:sz w:val="24"/>
                <w:szCs w:val="24"/>
              </w:rPr>
              <w:t>deben contar con el tie</w:t>
            </w:r>
            <w:r w:rsidR="00C06841">
              <w:rPr>
                <w:rFonts w:ascii="Times New Roman" w:hAnsi="Times New Roman" w:cs="Times New Roman"/>
                <w:sz w:val="24"/>
                <w:szCs w:val="24"/>
              </w:rPr>
              <w:t>mpo</w:t>
            </w:r>
            <w:r w:rsidR="007A35B7">
              <w:rPr>
                <w:rFonts w:ascii="Times New Roman" w:hAnsi="Times New Roman" w:cs="Times New Roman"/>
                <w:sz w:val="24"/>
                <w:szCs w:val="24"/>
              </w:rPr>
              <w:t xml:space="preserve"> necesario</w:t>
            </w:r>
            <w:r w:rsidR="00C06841"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r w:rsidR="00C068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realizar el curso, el cual tiene una duración de 40 horas. Al finalizar el curso estas personas recibirán una certificación.</w:t>
            </w:r>
            <w:r w:rsidR="00214598">
              <w:rPr>
                <w:rFonts w:ascii="Times New Roman" w:hAnsi="Times New Roman" w:cs="Times New Roman"/>
                <w:sz w:val="24"/>
                <w:szCs w:val="24"/>
              </w:rPr>
              <w:t xml:space="preserve"> Para lograr </w:t>
            </w:r>
            <w:r w:rsidR="00C94404" w:rsidRPr="002C33D4">
              <w:rPr>
                <w:rFonts w:ascii="Times New Roman" w:hAnsi="Times New Roman" w:cs="Times New Roman"/>
                <w:sz w:val="24"/>
                <w:szCs w:val="24"/>
              </w:rPr>
              <w:t>que la camp</w:t>
            </w:r>
            <w:r w:rsidR="00FA0C78" w:rsidRPr="002C33D4">
              <w:rPr>
                <w:rFonts w:ascii="Times New Roman" w:hAnsi="Times New Roman" w:cs="Times New Roman"/>
                <w:sz w:val="24"/>
                <w:szCs w:val="24"/>
              </w:rPr>
              <w:t>aña se extienda más rápido y al mayor número de</w:t>
            </w:r>
            <w:r w:rsidR="00C94404" w:rsidRPr="002C33D4">
              <w:rPr>
                <w:rFonts w:ascii="Times New Roman" w:hAnsi="Times New Roman" w:cs="Times New Roman"/>
                <w:sz w:val="24"/>
                <w:szCs w:val="24"/>
              </w:rPr>
              <w:t xml:space="preserve"> personas</w:t>
            </w:r>
            <w:r w:rsidR="00FA0C78" w:rsidRPr="002C33D4">
              <w:rPr>
                <w:rFonts w:ascii="Times New Roman" w:hAnsi="Times New Roman" w:cs="Times New Roman"/>
                <w:sz w:val="24"/>
                <w:szCs w:val="24"/>
              </w:rPr>
              <w:t xml:space="preserve"> posible</w:t>
            </w:r>
            <w:r w:rsidR="002C33D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14598">
              <w:rPr>
                <w:rFonts w:ascii="Times New Roman" w:hAnsi="Times New Roman" w:cs="Times New Roman"/>
                <w:sz w:val="24"/>
                <w:szCs w:val="24"/>
              </w:rPr>
              <w:t xml:space="preserve"> se harán publicaciones interactivas</w:t>
            </w:r>
            <w:r w:rsidR="00C06841">
              <w:rPr>
                <w:rFonts w:ascii="Times New Roman" w:hAnsi="Times New Roman" w:cs="Times New Roman"/>
                <w:sz w:val="24"/>
                <w:szCs w:val="24"/>
              </w:rPr>
              <w:t xml:space="preserve"> como lo son: en primer lugar; 4 videos, cada uno enfocado en un rol especifico (peatones, ciclistas, motociclistas y conductores de vehículos motorizados) este contenido será creativo y corto; no más de 2 minutos, donde los 20 voluntarios</w:t>
            </w:r>
            <w:r w:rsidR="00BD748B">
              <w:rPr>
                <w:rFonts w:ascii="Times New Roman" w:hAnsi="Times New Roman" w:cs="Times New Roman"/>
                <w:sz w:val="24"/>
                <w:szCs w:val="24"/>
              </w:rPr>
              <w:t xml:space="preserve"> mo</w:t>
            </w:r>
            <w:r w:rsidR="00C06841">
              <w:rPr>
                <w:rFonts w:ascii="Times New Roman" w:hAnsi="Times New Roman" w:cs="Times New Roman"/>
                <w:sz w:val="24"/>
                <w:szCs w:val="24"/>
              </w:rPr>
              <w:t>strarán de forma sencilla</w:t>
            </w:r>
            <w:r w:rsidR="00BD748B">
              <w:rPr>
                <w:rFonts w:ascii="Times New Roman" w:hAnsi="Times New Roman" w:cs="Times New Roman"/>
                <w:sz w:val="24"/>
                <w:szCs w:val="24"/>
              </w:rPr>
              <w:t xml:space="preserve"> y clara</w:t>
            </w:r>
            <w:r w:rsidR="00C068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748B">
              <w:rPr>
                <w:rFonts w:ascii="Times New Roman" w:hAnsi="Times New Roman" w:cs="Times New Roman"/>
                <w:sz w:val="24"/>
                <w:szCs w:val="24"/>
              </w:rPr>
              <w:t>cuál</w:t>
            </w:r>
            <w:r w:rsidR="00C06841">
              <w:rPr>
                <w:rFonts w:ascii="Times New Roman" w:hAnsi="Times New Roman" w:cs="Times New Roman"/>
                <w:sz w:val="24"/>
                <w:szCs w:val="24"/>
              </w:rPr>
              <w:t xml:space="preserve"> debe ser el comportamiento en la vía, siguiendo las normas </w:t>
            </w:r>
            <w:r w:rsidR="00BD748B">
              <w:rPr>
                <w:rFonts w:ascii="Times New Roman" w:hAnsi="Times New Roman" w:cs="Times New Roman"/>
                <w:sz w:val="24"/>
                <w:szCs w:val="24"/>
              </w:rPr>
              <w:t xml:space="preserve">de seguridad vial </w:t>
            </w:r>
            <w:r w:rsidR="00C06841">
              <w:rPr>
                <w:rFonts w:ascii="Times New Roman" w:hAnsi="Times New Roman" w:cs="Times New Roman"/>
                <w:sz w:val="24"/>
                <w:szCs w:val="24"/>
              </w:rPr>
              <w:t>establecidas</w:t>
            </w:r>
            <w:r w:rsidR="00BD748B">
              <w:rPr>
                <w:rFonts w:ascii="Times New Roman" w:hAnsi="Times New Roman" w:cs="Times New Roman"/>
                <w:sz w:val="24"/>
                <w:szCs w:val="24"/>
              </w:rPr>
              <w:t>. Estos videos serán publicados</w:t>
            </w:r>
            <w:r w:rsidR="002145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3D4">
              <w:rPr>
                <w:rFonts w:ascii="Times New Roman" w:hAnsi="Times New Roman" w:cs="Times New Roman"/>
                <w:sz w:val="24"/>
                <w:szCs w:val="24"/>
              </w:rPr>
              <w:t xml:space="preserve">en </w:t>
            </w:r>
            <w:r w:rsidR="00BD748B">
              <w:rPr>
                <w:rFonts w:ascii="Times New Roman" w:hAnsi="Times New Roman" w:cs="Times New Roman"/>
                <w:sz w:val="24"/>
                <w:szCs w:val="24"/>
              </w:rPr>
              <w:t xml:space="preserve">las </w:t>
            </w:r>
            <w:r w:rsidR="002C33D4">
              <w:rPr>
                <w:rFonts w:ascii="Times New Roman" w:hAnsi="Times New Roman" w:cs="Times New Roman"/>
                <w:sz w:val="24"/>
                <w:szCs w:val="24"/>
              </w:rPr>
              <w:t>redes sociales</w:t>
            </w:r>
            <w:r w:rsidR="00BD748B">
              <w:rPr>
                <w:rFonts w:ascii="Times New Roman" w:hAnsi="Times New Roman" w:cs="Times New Roman"/>
                <w:sz w:val="24"/>
                <w:szCs w:val="24"/>
              </w:rPr>
              <w:t>, cuentas oficiales ya mencionadas</w:t>
            </w:r>
            <w:r w:rsidR="002C33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748B">
              <w:rPr>
                <w:rFonts w:ascii="Times New Roman" w:hAnsi="Times New Roman" w:cs="Times New Roman"/>
                <w:sz w:val="24"/>
                <w:szCs w:val="24"/>
              </w:rPr>
              <w:t>(Facebook, Instagram y Twitter), y en segundo lugar con infografías</w:t>
            </w:r>
            <w:r w:rsidR="007A35B7">
              <w:rPr>
                <w:rFonts w:ascii="Times New Roman" w:hAnsi="Times New Roman" w:cs="Times New Roman"/>
                <w:sz w:val="24"/>
                <w:szCs w:val="24"/>
              </w:rPr>
              <w:t>. S</w:t>
            </w:r>
            <w:r w:rsidR="00BD748B">
              <w:rPr>
                <w:rFonts w:ascii="Times New Roman" w:hAnsi="Times New Roman" w:cs="Times New Roman"/>
                <w:sz w:val="24"/>
                <w:szCs w:val="24"/>
              </w:rPr>
              <w:t xml:space="preserve">e incentivará constantemente a los </w:t>
            </w:r>
            <w:r w:rsidR="00BD74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usuarios de las redes sociales a compartir los videos e imágenes para alcanzar a más personas y prevenir accidentes. Para la continuación del desarrollo de la estrategia, se </w:t>
            </w:r>
            <w:r w:rsidR="00CA126B">
              <w:rPr>
                <w:rFonts w:ascii="Times New Roman" w:hAnsi="Times New Roman" w:cs="Times New Roman"/>
                <w:sz w:val="24"/>
                <w:szCs w:val="24"/>
              </w:rPr>
              <w:t xml:space="preserve">darán </w:t>
            </w:r>
            <w:r w:rsidR="007A35B7">
              <w:rPr>
                <w:rFonts w:ascii="Times New Roman" w:hAnsi="Times New Roman" w:cs="Times New Roman"/>
                <w:sz w:val="24"/>
                <w:szCs w:val="24"/>
              </w:rPr>
              <w:t>charlas informativas en dos</w:t>
            </w:r>
            <w:r w:rsidR="00BD748B">
              <w:rPr>
                <w:rFonts w:ascii="Times New Roman" w:hAnsi="Times New Roman" w:cs="Times New Roman"/>
                <w:sz w:val="24"/>
                <w:szCs w:val="24"/>
              </w:rPr>
              <w:t xml:space="preserve"> carpas que serán colocadas en el sector, en estas carpas se </w:t>
            </w:r>
            <w:r w:rsidR="00CA126B">
              <w:rPr>
                <w:rFonts w:ascii="Times New Roman" w:hAnsi="Times New Roman" w:cs="Times New Roman"/>
                <w:sz w:val="24"/>
                <w:szCs w:val="24"/>
              </w:rPr>
              <w:t>encontrarán</w:t>
            </w:r>
            <w:r w:rsidR="00BD748B">
              <w:rPr>
                <w:rFonts w:ascii="Times New Roman" w:hAnsi="Times New Roman" w:cs="Times New Roman"/>
                <w:sz w:val="24"/>
                <w:szCs w:val="24"/>
              </w:rPr>
              <w:t xml:space="preserve"> 2 voluntarios </w:t>
            </w:r>
            <w:r w:rsidR="007A35B7">
              <w:rPr>
                <w:rFonts w:ascii="Times New Roman" w:hAnsi="Times New Roman" w:cs="Times New Roman"/>
                <w:sz w:val="24"/>
                <w:szCs w:val="24"/>
              </w:rPr>
              <w:t xml:space="preserve">(los cuales se irán rotando), </w:t>
            </w:r>
            <w:r w:rsidR="00BD748B">
              <w:rPr>
                <w:rFonts w:ascii="Times New Roman" w:hAnsi="Times New Roman" w:cs="Times New Roman"/>
                <w:sz w:val="24"/>
                <w:szCs w:val="24"/>
              </w:rPr>
              <w:t>quienes expondrán la información en 5 minutos</w:t>
            </w:r>
            <w:r w:rsidR="00CA126B">
              <w:rPr>
                <w:rFonts w:ascii="Times New Roman" w:hAnsi="Times New Roman" w:cs="Times New Roman"/>
                <w:sz w:val="24"/>
                <w:szCs w:val="24"/>
              </w:rPr>
              <w:t xml:space="preserve"> a los transeúntes, en la carpa no podrán permanecer más de 8 transeúntes, ya que se tendrán en cuentas los protocolos de bioseguridad </w:t>
            </w:r>
            <w:r w:rsidR="007A35B7">
              <w:rPr>
                <w:rFonts w:ascii="Times New Roman" w:hAnsi="Times New Roman" w:cs="Times New Roman"/>
                <w:sz w:val="24"/>
                <w:szCs w:val="24"/>
              </w:rPr>
              <w:t xml:space="preserve">establecidos </w:t>
            </w:r>
            <w:r w:rsidR="00CA126B">
              <w:rPr>
                <w:rFonts w:ascii="Times New Roman" w:hAnsi="Times New Roman" w:cs="Times New Roman"/>
                <w:sz w:val="24"/>
                <w:szCs w:val="24"/>
              </w:rPr>
              <w:t>por la pandemia del Coronavirus.</w:t>
            </w:r>
          </w:p>
        </w:tc>
      </w:tr>
      <w:tr w:rsidR="00924A36" w:rsidRPr="002C33D4" w14:paraId="45045EBC" w14:textId="77777777" w:rsidTr="005A7DCB">
        <w:trPr>
          <w:trHeight w:val="815"/>
        </w:trPr>
        <w:tc>
          <w:tcPr>
            <w:tcW w:w="2689" w:type="dxa"/>
          </w:tcPr>
          <w:p w14:paraId="5FCCC85D" w14:textId="61408237" w:rsidR="00924A36" w:rsidRPr="002C33D4" w:rsidRDefault="00924A36" w:rsidP="00931E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3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Identificar las zonas donde la infraestructura vial no esté siendo usada por los peatones, hablando específicamente de puentes y senderos </w:t>
            </w:r>
            <w:r w:rsidRPr="002C33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peatonales. De esta forma será posible adelantar campañas de concientización del riesgo que se corre al no hacer uso de estos en la ciudad de Bogotá Localidad Rafael Uribe.</w:t>
            </w:r>
          </w:p>
        </w:tc>
        <w:tc>
          <w:tcPr>
            <w:tcW w:w="2268" w:type="dxa"/>
          </w:tcPr>
          <w:p w14:paraId="4E2F930B" w14:textId="4498D571" w:rsidR="00924A36" w:rsidRPr="002C4C11" w:rsidRDefault="002C4C11" w:rsidP="00931E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C4C11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Los usó porque me protegen</w:t>
            </w:r>
            <w:r w:rsidR="002C33D4" w:rsidRPr="002C4C1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3943" w:type="dxa"/>
          </w:tcPr>
          <w:p w14:paraId="1228DF1F" w14:textId="1DCF2856" w:rsidR="00924A36" w:rsidRPr="002C33D4" w:rsidRDefault="002C33D4" w:rsidP="00931E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estrategia </w:t>
            </w:r>
            <w:r w:rsidR="002C4C11">
              <w:rPr>
                <w:rFonts w:ascii="Times New Roman" w:hAnsi="Times New Roman" w:cs="Times New Roman"/>
                <w:sz w:val="24"/>
                <w:szCs w:val="24"/>
              </w:rPr>
              <w:t xml:space="preserve">los uso porque me protegen, </w:t>
            </w:r>
            <w:r w:rsidR="00846142">
              <w:rPr>
                <w:rFonts w:ascii="Times New Roman" w:hAnsi="Times New Roman" w:cs="Times New Roman"/>
                <w:sz w:val="24"/>
                <w:szCs w:val="24"/>
              </w:rPr>
              <w:t>tiene como fin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identificar las zonas donde la infraestructura vial no está siendo usada por los peatones. Después de esto, se llevarán a cabo campañas que logren </w:t>
            </w:r>
            <w:r w:rsidR="00E75036">
              <w:rPr>
                <w:rFonts w:ascii="Times New Roman" w:hAnsi="Times New Roman" w:cs="Times New Roman"/>
                <w:sz w:val="24"/>
                <w:szCs w:val="24"/>
              </w:rPr>
              <w:t>concientizar sobre l</w:t>
            </w:r>
            <w:r w:rsidR="007A35B7">
              <w:rPr>
                <w:rFonts w:ascii="Times New Roman" w:hAnsi="Times New Roman" w:cs="Times New Roman"/>
                <w:sz w:val="24"/>
                <w:szCs w:val="24"/>
              </w:rPr>
              <w:t>o importante que es hacer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de la infraestructura vial, para </w:t>
            </w:r>
            <w:r w:rsidR="007A35B7">
              <w:rPr>
                <w:rFonts w:ascii="Times New Roman" w:hAnsi="Times New Roman" w:cs="Times New Roman"/>
                <w:sz w:val="24"/>
                <w:szCs w:val="24"/>
              </w:rPr>
              <w:t xml:space="preserve">proteger </w:t>
            </w:r>
            <w:r w:rsidR="00E75036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 w:rsidR="007A35B7">
              <w:rPr>
                <w:rFonts w:ascii="Times New Roman" w:hAnsi="Times New Roman" w:cs="Times New Roman"/>
                <w:sz w:val="24"/>
                <w:szCs w:val="24"/>
              </w:rPr>
              <w:t>integridad física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Las campañas </w:t>
            </w:r>
            <w:r w:rsidR="00906C77">
              <w:rPr>
                <w:rFonts w:ascii="Times New Roman" w:hAnsi="Times New Roman" w:cs="Times New Roman"/>
                <w:sz w:val="24"/>
                <w:szCs w:val="24"/>
              </w:rPr>
              <w:t xml:space="preserve">de concientización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realizarán de forma lúdica, </w:t>
            </w:r>
            <w:r w:rsidR="007A35B7">
              <w:rPr>
                <w:rFonts w:ascii="Times New Roman" w:hAnsi="Times New Roman" w:cs="Times New Roman"/>
                <w:sz w:val="24"/>
                <w:szCs w:val="24"/>
              </w:rPr>
              <w:t xml:space="preserve">en paralelo a las </w:t>
            </w:r>
            <w:r w:rsidR="00906C77">
              <w:rPr>
                <w:rFonts w:ascii="Times New Roman" w:hAnsi="Times New Roman" w:cs="Times New Roman"/>
                <w:sz w:val="24"/>
                <w:szCs w:val="24"/>
              </w:rPr>
              <w:t>charlas informativas de la estrategia Educ</w:t>
            </w:r>
            <w:r w:rsidR="005E0192">
              <w:rPr>
                <w:rFonts w:ascii="Times New Roman" w:hAnsi="Times New Roman" w:cs="Times New Roman"/>
                <w:sz w:val="24"/>
                <w:szCs w:val="24"/>
              </w:rPr>
              <w:t>ación vial, te cuido me cuidas; la actividad principal a desarrollar serán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dramatizaciones cortas</w:t>
            </w:r>
            <w:r w:rsidR="005E0192">
              <w:rPr>
                <w:rFonts w:ascii="Times New Roman" w:hAnsi="Times New Roman" w:cs="Times New Roman"/>
                <w:sz w:val="24"/>
                <w:szCs w:val="24"/>
              </w:rPr>
              <w:t>, donde se ilustrará lo que puede llegar a pasar sí no se usa la infraestructura via</w:t>
            </w:r>
            <w:r w:rsidR="00191E38">
              <w:rPr>
                <w:rFonts w:ascii="Times New Roman" w:hAnsi="Times New Roman" w:cs="Times New Roman"/>
                <w:sz w:val="24"/>
                <w:szCs w:val="24"/>
              </w:rPr>
              <w:t xml:space="preserve">l. Sumado a las dramatizaciones en </w:t>
            </w:r>
            <w:r w:rsidR="00BC69CB">
              <w:rPr>
                <w:rFonts w:ascii="Times New Roman" w:hAnsi="Times New Roman" w:cs="Times New Roman"/>
                <w:sz w:val="24"/>
                <w:szCs w:val="24"/>
              </w:rPr>
              <w:t xml:space="preserve">cada zona donde no se usa la infraestructura vial o se usa de manera inapropiada, estará uno de los voluntarios guiado a los peatones e incentivándolos a </w:t>
            </w:r>
            <w:r w:rsidR="00E75036">
              <w:rPr>
                <w:rFonts w:ascii="Times New Roman" w:hAnsi="Times New Roman" w:cs="Times New Roman"/>
                <w:sz w:val="24"/>
                <w:szCs w:val="24"/>
              </w:rPr>
              <w:t>hacer uso de la infraestructura como debe ser.</w:t>
            </w:r>
          </w:p>
        </w:tc>
      </w:tr>
      <w:tr w:rsidR="00924A36" w:rsidRPr="002C33D4" w14:paraId="510DE5C2" w14:textId="77777777" w:rsidTr="005A7DCB">
        <w:trPr>
          <w:trHeight w:val="770"/>
        </w:trPr>
        <w:tc>
          <w:tcPr>
            <w:tcW w:w="2689" w:type="dxa"/>
          </w:tcPr>
          <w:p w14:paraId="53B32E28" w14:textId="1922E14E" w:rsidR="00924A36" w:rsidRPr="002C33D4" w:rsidRDefault="00846142" w:rsidP="00931E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1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Orientar a los conductores mediante publicidad y puestos de control dirigidos por parte de las autoridades competentes, sobre cuál </w:t>
            </w:r>
            <w:r w:rsidRPr="008461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debe ser el estado óptimo de su vehículo para evitar accidentes en la ciudad de Bogotá Localidad Rafael Uribe</w:t>
            </w:r>
          </w:p>
        </w:tc>
        <w:tc>
          <w:tcPr>
            <w:tcW w:w="2268" w:type="dxa"/>
          </w:tcPr>
          <w:p w14:paraId="1BFEA8E6" w14:textId="21373735" w:rsidR="00924A36" w:rsidRPr="00B91A77" w:rsidRDefault="00B91A77" w:rsidP="00931E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91A77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 xml:space="preserve">Vehículo </w:t>
            </w:r>
            <w:proofErr w:type="spellStart"/>
            <w:r w:rsidRPr="00B91A7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Check</w:t>
            </w:r>
            <w:proofErr w:type="spellEnd"/>
          </w:p>
        </w:tc>
        <w:tc>
          <w:tcPr>
            <w:tcW w:w="3943" w:type="dxa"/>
          </w:tcPr>
          <w:p w14:paraId="13A23668" w14:textId="7B2385D9" w:rsidR="00924A36" w:rsidRPr="002C33D4" w:rsidRDefault="00846142" w:rsidP="00931E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 la estrategia Vehículo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busca conseguir que los conductores conozcan cual debe ser el estado óptimo de su vehículo. Para lograrlo se contará con el apoyo de las autoridades de </w:t>
            </w:r>
            <w:r w:rsidR="000D735D">
              <w:rPr>
                <w:rFonts w:ascii="Times New Roman" w:hAnsi="Times New Roman" w:cs="Times New Roman"/>
                <w:sz w:val="24"/>
                <w:szCs w:val="24"/>
              </w:rPr>
              <w:t>tránsito, quienes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frecuencia establecerán retenes donde se verificará el estado de los vehículos, los cuales deben cumplir con la revisión técnico-mecánica y revisión de gases requeridas por la ley. A su vez se adelantará una </w:t>
            </w:r>
            <w:r w:rsidR="002C4C11">
              <w:rPr>
                <w:rFonts w:ascii="Times New Roman" w:hAnsi="Times New Roman" w:cs="Times New Roman"/>
                <w:sz w:val="24"/>
                <w:szCs w:val="24"/>
              </w:rPr>
              <w:t>campaña virtual donde de m</w:t>
            </w:r>
            <w:r w:rsidR="000D735D">
              <w:rPr>
                <w:rFonts w:ascii="Times New Roman" w:hAnsi="Times New Roman" w:cs="Times New Roman"/>
                <w:sz w:val="24"/>
                <w:szCs w:val="24"/>
              </w:rPr>
              <w:t>anera muy clara sé dará</w:t>
            </w:r>
            <w:r w:rsidR="002C4C11">
              <w:rPr>
                <w:rFonts w:ascii="Times New Roman" w:hAnsi="Times New Roman" w:cs="Times New Roman"/>
                <w:sz w:val="24"/>
                <w:szCs w:val="24"/>
              </w:rPr>
              <w:t xml:space="preserve"> a conocer </w:t>
            </w:r>
            <w:r w:rsidR="00A12396">
              <w:rPr>
                <w:rFonts w:ascii="Times New Roman" w:hAnsi="Times New Roman" w:cs="Times New Roman"/>
                <w:sz w:val="24"/>
                <w:szCs w:val="24"/>
              </w:rPr>
              <w:t xml:space="preserve">en que </w:t>
            </w:r>
            <w:r w:rsidR="004849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12396">
              <w:rPr>
                <w:rFonts w:ascii="Times New Roman" w:hAnsi="Times New Roman" w:cs="Times New Roman"/>
                <w:sz w:val="24"/>
                <w:szCs w:val="24"/>
              </w:rPr>
              <w:t>onsiste</w:t>
            </w:r>
            <w:r w:rsidR="002C4C11">
              <w:rPr>
                <w:rFonts w:ascii="Times New Roman" w:hAnsi="Times New Roman" w:cs="Times New Roman"/>
                <w:sz w:val="24"/>
                <w:szCs w:val="24"/>
              </w:rPr>
              <w:t xml:space="preserve"> la Seguridad activa y como es</w:t>
            </w:r>
            <w:r w:rsidR="000D735D">
              <w:rPr>
                <w:rFonts w:ascii="Times New Roman" w:hAnsi="Times New Roman" w:cs="Times New Roman"/>
                <w:sz w:val="24"/>
                <w:szCs w:val="24"/>
              </w:rPr>
              <w:t>tá puede salvar vidas en la vía. Se contará con el apoyo de ilustraciones</w:t>
            </w:r>
            <w:r w:rsidR="003B5380">
              <w:rPr>
                <w:rFonts w:ascii="Times New Roman" w:hAnsi="Times New Roman" w:cs="Times New Roman"/>
                <w:sz w:val="24"/>
                <w:szCs w:val="24"/>
              </w:rPr>
              <w:t xml:space="preserve"> digitales</w:t>
            </w:r>
            <w:r w:rsidR="000D735D">
              <w:rPr>
                <w:rFonts w:ascii="Times New Roman" w:hAnsi="Times New Roman" w:cs="Times New Roman"/>
                <w:sz w:val="24"/>
                <w:szCs w:val="24"/>
              </w:rPr>
              <w:t xml:space="preserve"> y una persona altamente capacitada de la secretaria de tránsito y </w:t>
            </w:r>
            <w:r w:rsidR="003B5380">
              <w:rPr>
                <w:rFonts w:ascii="Times New Roman" w:hAnsi="Times New Roman" w:cs="Times New Roman"/>
                <w:sz w:val="24"/>
                <w:szCs w:val="24"/>
              </w:rPr>
              <w:t>transporte para realizar un video informativo. La campaña</w:t>
            </w:r>
            <w:r w:rsidR="002C4C11">
              <w:rPr>
                <w:rFonts w:ascii="Times New Roman" w:hAnsi="Times New Roman" w:cs="Times New Roman"/>
                <w:sz w:val="24"/>
                <w:szCs w:val="24"/>
              </w:rPr>
              <w:t xml:space="preserve"> será difundida en la página web de la secretaria de Bogotá y en las redes sociales</w:t>
            </w:r>
            <w:r w:rsidR="000D735D">
              <w:rPr>
                <w:rFonts w:ascii="Times New Roman" w:hAnsi="Times New Roman" w:cs="Times New Roman"/>
                <w:sz w:val="24"/>
                <w:szCs w:val="24"/>
              </w:rPr>
              <w:t xml:space="preserve"> oficiales</w:t>
            </w:r>
            <w:r w:rsidR="003B5380">
              <w:rPr>
                <w:rFonts w:ascii="Times New Roman" w:hAnsi="Times New Roman" w:cs="Times New Roman"/>
                <w:sz w:val="24"/>
                <w:szCs w:val="24"/>
              </w:rPr>
              <w:t xml:space="preserve"> de la administración (Facebook, Instagram y T</w:t>
            </w:r>
            <w:r w:rsidR="003E465B">
              <w:rPr>
                <w:rFonts w:ascii="Times New Roman" w:hAnsi="Times New Roman" w:cs="Times New Roman"/>
                <w:sz w:val="24"/>
                <w:szCs w:val="24"/>
              </w:rPr>
              <w:t>witter)</w:t>
            </w:r>
            <w:r w:rsidR="003B5380">
              <w:rPr>
                <w:rFonts w:ascii="Times New Roman" w:hAnsi="Times New Roman" w:cs="Times New Roman"/>
                <w:sz w:val="24"/>
                <w:szCs w:val="24"/>
              </w:rPr>
              <w:t>, donde se incentivará a los usuarios a compartir la publicación para que la información se difunda a más personas.</w:t>
            </w:r>
            <w:r w:rsidR="002C4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845FE30" w14:textId="77777777" w:rsidR="00ED200F" w:rsidRDefault="00ED200F" w:rsidP="00931E1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385DE4F9" w14:textId="120DD8E2" w:rsidR="009118D7" w:rsidRPr="002C33D4" w:rsidRDefault="002C4C11" w:rsidP="00931E1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</w:t>
      </w:r>
      <w:r w:rsidR="009118D7" w:rsidRPr="002C33D4">
        <w:rPr>
          <w:rFonts w:ascii="Times New Roman" w:hAnsi="Times New Roman" w:cs="Times New Roman"/>
          <w:b/>
          <w:sz w:val="24"/>
          <w:szCs w:val="24"/>
        </w:rPr>
        <w:t>abla 2 Cronograma</w:t>
      </w:r>
    </w:p>
    <w:tbl>
      <w:tblPr>
        <w:tblStyle w:val="Tablaconcuadrcula"/>
        <w:tblW w:w="9394" w:type="dxa"/>
        <w:tblLook w:val="04A0" w:firstRow="1" w:lastRow="0" w:firstColumn="1" w:lastColumn="0" w:noHBand="0" w:noVBand="1"/>
      </w:tblPr>
      <w:tblGrid>
        <w:gridCol w:w="1523"/>
        <w:gridCol w:w="2011"/>
        <w:gridCol w:w="664"/>
        <w:gridCol w:w="624"/>
        <w:gridCol w:w="625"/>
        <w:gridCol w:w="734"/>
        <w:gridCol w:w="735"/>
        <w:gridCol w:w="624"/>
        <w:gridCol w:w="624"/>
        <w:gridCol w:w="624"/>
        <w:gridCol w:w="606"/>
      </w:tblGrid>
      <w:tr w:rsidR="009B6BA5" w:rsidRPr="002C33D4" w14:paraId="3617439A" w14:textId="3CB566DD" w:rsidTr="009B6BA5">
        <w:tc>
          <w:tcPr>
            <w:tcW w:w="3534" w:type="dxa"/>
            <w:gridSpan w:val="2"/>
          </w:tcPr>
          <w:p w14:paraId="0525EAF8" w14:textId="77777777" w:rsidR="009B6BA5" w:rsidRPr="002C33D4" w:rsidRDefault="009B6BA5" w:rsidP="00931E1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Meses</w:t>
            </w:r>
          </w:p>
        </w:tc>
        <w:tc>
          <w:tcPr>
            <w:tcW w:w="664" w:type="dxa"/>
          </w:tcPr>
          <w:p w14:paraId="1AB3DCA6" w14:textId="77777777" w:rsidR="009B6BA5" w:rsidRPr="002C33D4" w:rsidRDefault="009B6BA5" w:rsidP="00931E1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01249AC2" w14:textId="77777777" w:rsidR="009B6BA5" w:rsidRPr="002C33D4" w:rsidRDefault="009B6BA5" w:rsidP="00931E1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25" w:type="dxa"/>
          </w:tcPr>
          <w:p w14:paraId="7451BEC5" w14:textId="77777777" w:rsidR="009B6BA5" w:rsidRPr="002C33D4" w:rsidRDefault="009B6BA5" w:rsidP="00931E1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34" w:type="dxa"/>
          </w:tcPr>
          <w:p w14:paraId="7F10718B" w14:textId="77777777" w:rsidR="009B6BA5" w:rsidRPr="002C33D4" w:rsidRDefault="009B6BA5" w:rsidP="00931E1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35" w:type="dxa"/>
          </w:tcPr>
          <w:p w14:paraId="34E0CF1E" w14:textId="77777777" w:rsidR="009B6BA5" w:rsidRPr="002C33D4" w:rsidRDefault="009B6BA5" w:rsidP="00931E1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24" w:type="dxa"/>
          </w:tcPr>
          <w:p w14:paraId="20F87FDD" w14:textId="688E8EE7" w:rsidR="009B6BA5" w:rsidRPr="002C33D4" w:rsidRDefault="009B6BA5" w:rsidP="00931E1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24" w:type="dxa"/>
          </w:tcPr>
          <w:p w14:paraId="2F7681D9" w14:textId="548CE6D5" w:rsidR="009B6BA5" w:rsidRPr="002C33D4" w:rsidRDefault="009B6BA5" w:rsidP="00931E1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624" w:type="dxa"/>
          </w:tcPr>
          <w:p w14:paraId="5B5E5EFB" w14:textId="3C804E46" w:rsidR="009B6BA5" w:rsidRPr="002C33D4" w:rsidRDefault="009B6BA5" w:rsidP="00931E1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606" w:type="dxa"/>
          </w:tcPr>
          <w:p w14:paraId="1637F4BE" w14:textId="1859671D" w:rsidR="009B6BA5" w:rsidRDefault="009B6BA5" w:rsidP="00931E1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9B6BA5" w:rsidRPr="002C33D4" w14:paraId="689AA27B" w14:textId="7BB4E94C" w:rsidTr="009B6BA5">
        <w:tc>
          <w:tcPr>
            <w:tcW w:w="1523" w:type="dxa"/>
          </w:tcPr>
          <w:p w14:paraId="3589422A" w14:textId="77777777" w:rsidR="009B6BA5" w:rsidRPr="002C33D4" w:rsidRDefault="009B6BA5" w:rsidP="00931E1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Estrategias </w:t>
            </w:r>
          </w:p>
        </w:tc>
        <w:tc>
          <w:tcPr>
            <w:tcW w:w="2011" w:type="dxa"/>
          </w:tcPr>
          <w:p w14:paraId="6DBC0937" w14:textId="77777777" w:rsidR="009B6BA5" w:rsidRPr="002C33D4" w:rsidRDefault="009B6BA5" w:rsidP="00931E1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Actividades</w:t>
            </w:r>
          </w:p>
        </w:tc>
        <w:tc>
          <w:tcPr>
            <w:tcW w:w="664" w:type="dxa"/>
          </w:tcPr>
          <w:p w14:paraId="61BA7984" w14:textId="77777777" w:rsidR="009B6BA5" w:rsidRPr="002C33D4" w:rsidRDefault="009B6BA5" w:rsidP="00931E1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49D4A494" w14:textId="77777777" w:rsidR="009B6BA5" w:rsidRPr="002C33D4" w:rsidRDefault="009B6BA5" w:rsidP="00931E1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5" w:type="dxa"/>
          </w:tcPr>
          <w:p w14:paraId="7DBAA39E" w14:textId="77777777" w:rsidR="009B6BA5" w:rsidRPr="002C33D4" w:rsidRDefault="009B6BA5" w:rsidP="00931E1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" w:type="dxa"/>
          </w:tcPr>
          <w:p w14:paraId="7C23ED24" w14:textId="77777777" w:rsidR="009B6BA5" w:rsidRPr="002C33D4" w:rsidRDefault="009B6BA5" w:rsidP="00931E1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</w:tcPr>
          <w:p w14:paraId="094D6AF4" w14:textId="77777777" w:rsidR="009B6BA5" w:rsidRPr="002C33D4" w:rsidRDefault="009B6BA5" w:rsidP="00931E1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61B68E61" w14:textId="77777777" w:rsidR="009B6BA5" w:rsidRPr="002C33D4" w:rsidRDefault="009B6BA5" w:rsidP="00931E1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7A0CC344" w14:textId="784DF4D5" w:rsidR="009B6BA5" w:rsidRPr="002C33D4" w:rsidRDefault="009B6BA5" w:rsidP="00931E1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050C1B09" w14:textId="77777777" w:rsidR="009B6BA5" w:rsidRPr="002C33D4" w:rsidRDefault="009B6BA5" w:rsidP="00931E1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" w:type="dxa"/>
          </w:tcPr>
          <w:p w14:paraId="6667055D" w14:textId="77777777" w:rsidR="009B6BA5" w:rsidRPr="002C33D4" w:rsidRDefault="009B6BA5" w:rsidP="00931E1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6BA5" w:rsidRPr="002C33D4" w14:paraId="603C7747" w14:textId="77777777" w:rsidTr="009B6BA5">
        <w:tc>
          <w:tcPr>
            <w:tcW w:w="1523" w:type="dxa"/>
          </w:tcPr>
          <w:p w14:paraId="5E5DF5A6" w14:textId="098EFAB0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Alistamiento</w:t>
            </w:r>
          </w:p>
        </w:tc>
        <w:tc>
          <w:tcPr>
            <w:tcW w:w="2011" w:type="dxa"/>
          </w:tcPr>
          <w:p w14:paraId="55A5D6CB" w14:textId="05E2C8E4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Articulación con autoridades de </w:t>
            </w:r>
            <w:r w:rsidR="00555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tránsito y autoridades competentes</w:t>
            </w:r>
          </w:p>
        </w:tc>
        <w:tc>
          <w:tcPr>
            <w:tcW w:w="664" w:type="dxa"/>
            <w:shd w:val="clear" w:color="auto" w:fill="ACB9CA" w:themeFill="text2" w:themeFillTint="66"/>
          </w:tcPr>
          <w:p w14:paraId="562DFC64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3D386F94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5" w:type="dxa"/>
          </w:tcPr>
          <w:p w14:paraId="391D6625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" w:type="dxa"/>
          </w:tcPr>
          <w:p w14:paraId="37E46A11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</w:tcPr>
          <w:p w14:paraId="50C5D2BC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503257DA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36613311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49F0EA18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" w:type="dxa"/>
          </w:tcPr>
          <w:p w14:paraId="3A51692B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530D" w:rsidRPr="002C33D4" w14:paraId="6794C42E" w14:textId="77777777" w:rsidTr="009B6BA5">
        <w:tc>
          <w:tcPr>
            <w:tcW w:w="1523" w:type="dxa"/>
          </w:tcPr>
          <w:p w14:paraId="1D290C48" w14:textId="77777777" w:rsidR="0055530D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1" w:type="dxa"/>
          </w:tcPr>
          <w:p w14:paraId="4AC8F175" w14:textId="4C8BF17A" w:rsidR="0055530D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Diseño de plan de gestión</w:t>
            </w:r>
          </w:p>
        </w:tc>
        <w:tc>
          <w:tcPr>
            <w:tcW w:w="664" w:type="dxa"/>
            <w:shd w:val="clear" w:color="auto" w:fill="ACB9CA" w:themeFill="text2" w:themeFillTint="66"/>
          </w:tcPr>
          <w:p w14:paraId="19E40467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5B89904C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5" w:type="dxa"/>
          </w:tcPr>
          <w:p w14:paraId="4771AC3E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" w:type="dxa"/>
          </w:tcPr>
          <w:p w14:paraId="6EE9B14B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</w:tcPr>
          <w:p w14:paraId="1643843B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37349A2F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780BD33D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78B3C703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" w:type="dxa"/>
          </w:tcPr>
          <w:p w14:paraId="23E6C809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6BA5" w:rsidRPr="002C33D4" w14:paraId="12A3854B" w14:textId="1945AB43" w:rsidTr="009B6BA5">
        <w:trPr>
          <w:trHeight w:val="714"/>
        </w:trPr>
        <w:tc>
          <w:tcPr>
            <w:tcW w:w="1523" w:type="dxa"/>
            <w:vMerge w:val="restart"/>
          </w:tcPr>
          <w:p w14:paraId="38AF4B3B" w14:textId="7E2C82B7" w:rsidR="009B6BA5" w:rsidRPr="004849A1" w:rsidRDefault="009B6BA5" w:rsidP="009B6BA5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849A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Educación vial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, me cuido te cuidas</w:t>
            </w:r>
          </w:p>
        </w:tc>
        <w:tc>
          <w:tcPr>
            <w:tcW w:w="2011" w:type="dxa"/>
          </w:tcPr>
          <w:p w14:paraId="37E5D9DF" w14:textId="3B0D87B2" w:rsidR="009B6BA5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Convocatoria, selección y capacitación de 20 voluntarios</w:t>
            </w:r>
          </w:p>
        </w:tc>
        <w:tc>
          <w:tcPr>
            <w:tcW w:w="664" w:type="dxa"/>
            <w:shd w:val="clear" w:color="auto" w:fill="FFFFFF" w:themeFill="background1"/>
          </w:tcPr>
          <w:p w14:paraId="07E405C6" w14:textId="77777777" w:rsidR="009B6BA5" w:rsidRPr="004849A1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5B9BD5" w:themeFill="accent1"/>
          </w:tcPr>
          <w:p w14:paraId="51BE3487" w14:textId="77777777" w:rsidR="009B6BA5" w:rsidRPr="004849A1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625" w:type="dxa"/>
            <w:shd w:val="clear" w:color="auto" w:fill="5B9BD5" w:themeFill="accent1"/>
          </w:tcPr>
          <w:p w14:paraId="08F1F058" w14:textId="111B891D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34" w:type="dxa"/>
          </w:tcPr>
          <w:p w14:paraId="449E1684" w14:textId="6867E204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35" w:type="dxa"/>
          </w:tcPr>
          <w:p w14:paraId="7FD2A8C8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7AF38B7B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4FA1F0E6" w14:textId="33811AF2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115F15D8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" w:type="dxa"/>
          </w:tcPr>
          <w:p w14:paraId="20C7E117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6BA5" w:rsidRPr="002C33D4" w14:paraId="188E342E" w14:textId="2F12E83A" w:rsidTr="009B6BA5">
        <w:trPr>
          <w:trHeight w:val="714"/>
        </w:trPr>
        <w:tc>
          <w:tcPr>
            <w:tcW w:w="1523" w:type="dxa"/>
            <w:vMerge/>
          </w:tcPr>
          <w:p w14:paraId="0F58272C" w14:textId="50AC5458" w:rsidR="009B6BA5" w:rsidRPr="004849A1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11" w:type="dxa"/>
          </w:tcPr>
          <w:p w14:paraId="43E37855" w14:textId="3D53C469" w:rsidR="009B6BA5" w:rsidRPr="004849A1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Grabación y publicación de los 4 videos e infografías</w:t>
            </w:r>
          </w:p>
        </w:tc>
        <w:tc>
          <w:tcPr>
            <w:tcW w:w="664" w:type="dxa"/>
            <w:shd w:val="clear" w:color="auto" w:fill="FFFFFF" w:themeFill="background1"/>
          </w:tcPr>
          <w:p w14:paraId="088C3B4F" w14:textId="77777777" w:rsidR="009B6BA5" w:rsidRPr="004849A1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FFFFFF" w:themeFill="background1"/>
          </w:tcPr>
          <w:p w14:paraId="06CC04CB" w14:textId="77777777" w:rsidR="009B6BA5" w:rsidRPr="004849A1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5BE090F9" w14:textId="51A2C6B0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" w:type="dxa"/>
            <w:shd w:val="clear" w:color="auto" w:fill="5B9BD5" w:themeFill="accent1"/>
          </w:tcPr>
          <w:p w14:paraId="51268742" w14:textId="6CAD1FE8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</w:tcPr>
          <w:p w14:paraId="4E1FD0E8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288354B8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359E3DA2" w14:textId="6C3AD828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2F217E5A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" w:type="dxa"/>
          </w:tcPr>
          <w:p w14:paraId="0363CDBE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6BA5" w:rsidRPr="002C33D4" w14:paraId="12951783" w14:textId="26D8AF3E" w:rsidTr="009B6BA5">
        <w:trPr>
          <w:trHeight w:val="578"/>
        </w:trPr>
        <w:tc>
          <w:tcPr>
            <w:tcW w:w="1523" w:type="dxa"/>
            <w:vMerge/>
          </w:tcPr>
          <w:p w14:paraId="22749464" w14:textId="23721E71" w:rsidR="009B6BA5" w:rsidRPr="004849A1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1" w:type="dxa"/>
          </w:tcPr>
          <w:p w14:paraId="55BE44AD" w14:textId="77777777" w:rsidR="009B6BA5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D6D8556" w14:textId="7F5D7510" w:rsidR="009B6BA5" w:rsidRPr="004849A1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Charlas informativas en carpas</w:t>
            </w:r>
          </w:p>
        </w:tc>
        <w:tc>
          <w:tcPr>
            <w:tcW w:w="664" w:type="dxa"/>
            <w:shd w:val="clear" w:color="auto" w:fill="FFFFFF" w:themeFill="background1"/>
          </w:tcPr>
          <w:p w14:paraId="1DA1193F" w14:textId="77777777" w:rsidR="009B6BA5" w:rsidRPr="004849A1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FFFFFF" w:themeFill="background1"/>
          </w:tcPr>
          <w:p w14:paraId="48525A08" w14:textId="77777777" w:rsidR="009B6BA5" w:rsidRPr="004849A1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625" w:type="dxa"/>
          </w:tcPr>
          <w:p w14:paraId="1A54BE13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" w:type="dxa"/>
            <w:shd w:val="clear" w:color="auto" w:fill="5B9BD5" w:themeFill="accent1"/>
          </w:tcPr>
          <w:p w14:paraId="400C9839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5B9BD5" w:themeFill="accent1"/>
          </w:tcPr>
          <w:p w14:paraId="3E389AD3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5B9BD5" w:themeFill="accent1"/>
          </w:tcPr>
          <w:p w14:paraId="651CA7FE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5B9BD5" w:themeFill="accent1"/>
          </w:tcPr>
          <w:p w14:paraId="1C985B82" w14:textId="5155D6C2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auto"/>
          </w:tcPr>
          <w:p w14:paraId="16394E71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" w:type="dxa"/>
          </w:tcPr>
          <w:p w14:paraId="61C7A05C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6BA5" w14:paraId="4AE12B5F" w14:textId="425FC429" w:rsidTr="005673A6">
        <w:trPr>
          <w:trHeight w:val="1980"/>
        </w:trPr>
        <w:tc>
          <w:tcPr>
            <w:tcW w:w="1523" w:type="dxa"/>
            <w:vMerge/>
          </w:tcPr>
          <w:p w14:paraId="20F0D4F5" w14:textId="77777777" w:rsidR="009B6BA5" w:rsidRDefault="009B6BA5" w:rsidP="009B6BA5">
            <w:pPr>
              <w:spacing w:line="480" w:lineRule="auto"/>
            </w:pPr>
          </w:p>
        </w:tc>
        <w:tc>
          <w:tcPr>
            <w:tcW w:w="2011" w:type="dxa"/>
          </w:tcPr>
          <w:p w14:paraId="56F83A9A" w14:textId="047CCB57" w:rsidR="009B6BA5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9A1">
              <w:rPr>
                <w:rFonts w:ascii="Times New Roman" w:hAnsi="Times New Roman" w:cs="Times New Roman"/>
                <w:b/>
                <w:sz w:val="24"/>
                <w:szCs w:val="24"/>
              </w:rPr>
              <w:t>Identifica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ción de infraestructura vial no usada</w:t>
            </w:r>
          </w:p>
        </w:tc>
        <w:tc>
          <w:tcPr>
            <w:tcW w:w="664" w:type="dxa"/>
          </w:tcPr>
          <w:p w14:paraId="249A5AC9" w14:textId="097C5829" w:rsidR="009B6BA5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FFC000" w:themeFill="accent4"/>
          </w:tcPr>
          <w:p w14:paraId="1D43C80F" w14:textId="3C573123" w:rsidR="009B6BA5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101F7DAB" w14:textId="499E9782" w:rsidR="009B6BA5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4" w:type="dxa"/>
            <w:shd w:val="clear" w:color="auto" w:fill="FFFFFF" w:themeFill="background1"/>
          </w:tcPr>
          <w:p w14:paraId="0A9E71F4" w14:textId="6DE47188" w:rsidR="009B6BA5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FFFFFF" w:themeFill="background1"/>
          </w:tcPr>
          <w:p w14:paraId="7788D1D4" w14:textId="4C7B4929" w:rsidR="009B6BA5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FFFFFF" w:themeFill="background1"/>
          </w:tcPr>
          <w:p w14:paraId="2FFC40DD" w14:textId="77777777" w:rsidR="009B6BA5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FFFFFF" w:themeFill="background1"/>
          </w:tcPr>
          <w:p w14:paraId="0C7ECA98" w14:textId="17659B1C" w:rsidR="009B6BA5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FFFFFF" w:themeFill="background1"/>
          </w:tcPr>
          <w:p w14:paraId="4EC18200" w14:textId="77777777" w:rsidR="009B6BA5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06" w:type="dxa"/>
          </w:tcPr>
          <w:p w14:paraId="6EF53175" w14:textId="77777777" w:rsidR="009B6BA5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6BA5" w:rsidRPr="002C33D4" w14:paraId="3407E02A" w14:textId="4F774A2B" w:rsidTr="005673A6">
        <w:tc>
          <w:tcPr>
            <w:tcW w:w="1523" w:type="dxa"/>
          </w:tcPr>
          <w:p w14:paraId="7CB3AFC3" w14:textId="21C64F4D" w:rsidR="009B6BA5" w:rsidRPr="004849A1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9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Los usó porque me protegen</w:t>
            </w:r>
          </w:p>
        </w:tc>
        <w:tc>
          <w:tcPr>
            <w:tcW w:w="2011" w:type="dxa"/>
          </w:tcPr>
          <w:p w14:paraId="146ACE5E" w14:textId="63299999" w:rsidR="009B6BA5" w:rsidRPr="004849A1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Organización y creación de dramatizaciones</w:t>
            </w:r>
          </w:p>
        </w:tc>
        <w:tc>
          <w:tcPr>
            <w:tcW w:w="664" w:type="dxa"/>
          </w:tcPr>
          <w:p w14:paraId="607BAFCF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041472DE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5" w:type="dxa"/>
            <w:shd w:val="clear" w:color="auto" w:fill="FFC000" w:themeFill="accent4"/>
          </w:tcPr>
          <w:p w14:paraId="1F8759E2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" w:type="dxa"/>
            <w:shd w:val="clear" w:color="auto" w:fill="FFFFFF" w:themeFill="background1"/>
          </w:tcPr>
          <w:p w14:paraId="26900586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FFFFFF" w:themeFill="background1"/>
          </w:tcPr>
          <w:p w14:paraId="7E30B806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FFFFFF" w:themeFill="background1"/>
          </w:tcPr>
          <w:p w14:paraId="7267DD63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FFFFFF" w:themeFill="background1"/>
          </w:tcPr>
          <w:p w14:paraId="2E10AFEC" w14:textId="7B5120E5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FFFFFF" w:themeFill="background1"/>
          </w:tcPr>
          <w:p w14:paraId="066D2280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" w:type="dxa"/>
            <w:shd w:val="clear" w:color="auto" w:fill="FFFFFF" w:themeFill="background1"/>
          </w:tcPr>
          <w:p w14:paraId="2E65266B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6BA5" w:rsidRPr="002C33D4" w14:paraId="5ECCB9FF" w14:textId="797FA5B1" w:rsidTr="009B6BA5">
        <w:tc>
          <w:tcPr>
            <w:tcW w:w="1523" w:type="dxa"/>
          </w:tcPr>
          <w:p w14:paraId="2D2F6CE5" w14:textId="77777777" w:rsidR="009B6BA5" w:rsidRPr="004849A1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1" w:type="dxa"/>
          </w:tcPr>
          <w:p w14:paraId="0F716B88" w14:textId="049F8F39" w:rsidR="009B6BA5" w:rsidRPr="004849A1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Puesta en escena de Dramatizaciones</w:t>
            </w:r>
          </w:p>
        </w:tc>
        <w:tc>
          <w:tcPr>
            <w:tcW w:w="664" w:type="dxa"/>
          </w:tcPr>
          <w:p w14:paraId="0D36E7D2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0E682B99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4D5D4AEC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" w:type="dxa"/>
            <w:shd w:val="clear" w:color="auto" w:fill="FFC000" w:themeFill="accent4"/>
          </w:tcPr>
          <w:p w14:paraId="0F101E5F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FFC000" w:themeFill="accent4"/>
          </w:tcPr>
          <w:p w14:paraId="7869E5CB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FFC000" w:themeFill="accent4"/>
          </w:tcPr>
          <w:p w14:paraId="76933571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FFC000" w:themeFill="accent4"/>
          </w:tcPr>
          <w:p w14:paraId="11A1A14C" w14:textId="15A503E5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auto"/>
          </w:tcPr>
          <w:p w14:paraId="2B478AE5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" w:type="dxa"/>
            <w:shd w:val="clear" w:color="auto" w:fill="FFFFFF" w:themeFill="background1"/>
          </w:tcPr>
          <w:p w14:paraId="31047ACD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6BA5" w:rsidRPr="002C33D4" w14:paraId="3A4BB0BF" w14:textId="53578BEE" w:rsidTr="0055530D">
        <w:tc>
          <w:tcPr>
            <w:tcW w:w="1523" w:type="dxa"/>
          </w:tcPr>
          <w:p w14:paraId="6F085D27" w14:textId="738406B4" w:rsidR="009B6BA5" w:rsidRPr="004849A1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9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Vehículo </w:t>
            </w:r>
            <w:proofErr w:type="spellStart"/>
            <w:r w:rsidRPr="004849A1">
              <w:rPr>
                <w:rFonts w:ascii="Times New Roman" w:hAnsi="Times New Roman" w:cs="Times New Roman"/>
                <w:b/>
                <w:sz w:val="24"/>
                <w:szCs w:val="24"/>
              </w:rPr>
              <w:t>Check</w:t>
            </w:r>
            <w:proofErr w:type="spellEnd"/>
          </w:p>
        </w:tc>
        <w:tc>
          <w:tcPr>
            <w:tcW w:w="2011" w:type="dxa"/>
          </w:tcPr>
          <w:p w14:paraId="2EEA8220" w14:textId="781F0A1C" w:rsidR="009B6BA5" w:rsidRPr="004849A1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Realización de retenes </w:t>
            </w:r>
          </w:p>
        </w:tc>
        <w:tc>
          <w:tcPr>
            <w:tcW w:w="664" w:type="dxa"/>
          </w:tcPr>
          <w:p w14:paraId="758EE142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0564A6CD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015FC9D6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" w:type="dxa"/>
            <w:shd w:val="clear" w:color="auto" w:fill="70AD47" w:themeFill="accent6"/>
          </w:tcPr>
          <w:p w14:paraId="52CED588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70AD47" w:themeFill="accent6"/>
          </w:tcPr>
          <w:p w14:paraId="63E2A47D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70AD47" w:themeFill="accent6"/>
          </w:tcPr>
          <w:p w14:paraId="361DED05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70AD47" w:themeFill="accent6"/>
          </w:tcPr>
          <w:p w14:paraId="08CD2BCD" w14:textId="4C06425C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39DE5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624" w:type="dxa"/>
            <w:shd w:val="clear" w:color="auto" w:fill="auto"/>
          </w:tcPr>
          <w:p w14:paraId="00229F3B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" w:type="dxa"/>
          </w:tcPr>
          <w:p w14:paraId="60A01A73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6BA5" w:rsidRPr="002C33D4" w14:paraId="03B5C421" w14:textId="7923AAAE" w:rsidTr="005673A6">
        <w:tc>
          <w:tcPr>
            <w:tcW w:w="1523" w:type="dxa"/>
          </w:tcPr>
          <w:p w14:paraId="04C8567F" w14:textId="77777777" w:rsidR="009B6BA5" w:rsidRPr="004849A1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1" w:type="dxa"/>
          </w:tcPr>
          <w:p w14:paraId="14AB0814" w14:textId="753B0947" w:rsidR="009B6BA5" w:rsidRPr="004849A1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Grabación y publicación de video informativo</w:t>
            </w:r>
          </w:p>
        </w:tc>
        <w:tc>
          <w:tcPr>
            <w:tcW w:w="664" w:type="dxa"/>
          </w:tcPr>
          <w:p w14:paraId="006194C0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3A94470B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5" w:type="dxa"/>
            <w:shd w:val="clear" w:color="auto" w:fill="70AD47" w:themeFill="accent6"/>
          </w:tcPr>
          <w:p w14:paraId="65763ACD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" w:type="dxa"/>
            <w:shd w:val="clear" w:color="auto" w:fill="FFFFFF" w:themeFill="background1"/>
          </w:tcPr>
          <w:p w14:paraId="03BAAF7B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auto"/>
          </w:tcPr>
          <w:p w14:paraId="2BEAAF77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auto"/>
          </w:tcPr>
          <w:p w14:paraId="5BA68FD1" w14:textId="77777777" w:rsidR="009B6BA5" w:rsidRPr="39DE56B6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auto"/>
          </w:tcPr>
          <w:p w14:paraId="655A4165" w14:textId="74DFD716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auto"/>
          </w:tcPr>
          <w:p w14:paraId="6E058CDA" w14:textId="77777777" w:rsidR="009B6BA5" w:rsidRPr="39DE56B6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06" w:type="dxa"/>
          </w:tcPr>
          <w:p w14:paraId="6857CD8B" w14:textId="77777777" w:rsidR="009B6BA5" w:rsidRPr="39DE56B6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530D" w:rsidRPr="002C33D4" w14:paraId="49E953CB" w14:textId="77777777" w:rsidTr="005673A6">
        <w:tc>
          <w:tcPr>
            <w:tcW w:w="1523" w:type="dxa"/>
            <w:vMerge w:val="restart"/>
          </w:tcPr>
          <w:p w14:paraId="7F7D01A7" w14:textId="77777777" w:rsidR="0055530D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9B55D6C" w14:textId="77777777" w:rsidR="0055530D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Cierre</w:t>
            </w:r>
          </w:p>
          <w:p w14:paraId="0F0136E2" w14:textId="77777777" w:rsidR="0055530D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1" w:type="dxa"/>
          </w:tcPr>
          <w:p w14:paraId="3CA33426" w14:textId="17406133" w:rsidR="0055530D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Cuantificar resultados obtenidos</w:t>
            </w:r>
          </w:p>
        </w:tc>
        <w:tc>
          <w:tcPr>
            <w:tcW w:w="664" w:type="dxa"/>
          </w:tcPr>
          <w:p w14:paraId="5C146A8C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16486769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5" w:type="dxa"/>
          </w:tcPr>
          <w:p w14:paraId="72B3E5DB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" w:type="dxa"/>
          </w:tcPr>
          <w:p w14:paraId="7A860408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auto"/>
          </w:tcPr>
          <w:p w14:paraId="0255A251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FFFFFF" w:themeFill="background1"/>
          </w:tcPr>
          <w:p w14:paraId="2A40B732" w14:textId="77777777" w:rsidR="0055530D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FFE599" w:themeFill="accent4" w:themeFillTint="66"/>
          </w:tcPr>
          <w:p w14:paraId="0FC0D4BB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FFE599" w:themeFill="accent4" w:themeFillTint="66"/>
          </w:tcPr>
          <w:p w14:paraId="73ADD310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" w:type="dxa"/>
            <w:shd w:val="clear" w:color="auto" w:fill="FFFFFF" w:themeFill="background1"/>
          </w:tcPr>
          <w:p w14:paraId="6E86F170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530D" w:rsidRPr="002C33D4" w14:paraId="0DA90BE4" w14:textId="5F3D2529" w:rsidTr="005673A6">
        <w:tc>
          <w:tcPr>
            <w:tcW w:w="1523" w:type="dxa"/>
            <w:vMerge/>
          </w:tcPr>
          <w:p w14:paraId="6F31EB12" w14:textId="17F7580E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1" w:type="dxa"/>
          </w:tcPr>
          <w:p w14:paraId="6913FD82" w14:textId="07E7C6B9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Evidenciar actividades realizadas</w:t>
            </w:r>
          </w:p>
        </w:tc>
        <w:tc>
          <w:tcPr>
            <w:tcW w:w="664" w:type="dxa"/>
          </w:tcPr>
          <w:p w14:paraId="3EF15AB0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4C30F272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5" w:type="dxa"/>
          </w:tcPr>
          <w:p w14:paraId="0CD1D775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" w:type="dxa"/>
          </w:tcPr>
          <w:p w14:paraId="69436763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auto"/>
          </w:tcPr>
          <w:p w14:paraId="59E23088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FFFFFF" w:themeFill="background1"/>
          </w:tcPr>
          <w:p w14:paraId="61BF4B78" w14:textId="77777777" w:rsidR="0055530D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7E5AAF" w14:textId="5F0A2816" w:rsidR="0055530D" w:rsidRPr="009B6BA5" w:rsidRDefault="0055530D" w:rsidP="009B6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FFE599" w:themeFill="accent4" w:themeFillTint="66"/>
          </w:tcPr>
          <w:p w14:paraId="556CBD01" w14:textId="35737C8F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FFE599" w:themeFill="accent4" w:themeFillTint="66"/>
          </w:tcPr>
          <w:p w14:paraId="040F3191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" w:type="dxa"/>
            <w:shd w:val="clear" w:color="auto" w:fill="FFFFFF" w:themeFill="background1"/>
          </w:tcPr>
          <w:p w14:paraId="47C77AE6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530D" w:rsidRPr="002C33D4" w14:paraId="21C4ACB1" w14:textId="4AC29DB3" w:rsidTr="005673A6">
        <w:tc>
          <w:tcPr>
            <w:tcW w:w="1523" w:type="dxa"/>
            <w:vMerge/>
          </w:tcPr>
          <w:p w14:paraId="2939D896" w14:textId="0644A3C3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1" w:type="dxa"/>
          </w:tcPr>
          <w:p w14:paraId="2B36B328" w14:textId="7CC0FB78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Informe final</w:t>
            </w:r>
          </w:p>
        </w:tc>
        <w:tc>
          <w:tcPr>
            <w:tcW w:w="664" w:type="dxa"/>
          </w:tcPr>
          <w:p w14:paraId="6C83D600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18B5C15A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5" w:type="dxa"/>
          </w:tcPr>
          <w:p w14:paraId="0FC75D35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" w:type="dxa"/>
          </w:tcPr>
          <w:p w14:paraId="6E4F86FA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</w:tcPr>
          <w:p w14:paraId="7BFA2505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0DE4866B" w14:textId="41E2A6F9" w:rsidR="0055530D" w:rsidRPr="009B6BA5" w:rsidRDefault="0055530D" w:rsidP="009B6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466B28ED" w14:textId="4C69B228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FFE599" w:themeFill="accent4" w:themeFillTint="66"/>
          </w:tcPr>
          <w:p w14:paraId="072E8DEC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" w:type="dxa"/>
            <w:shd w:val="clear" w:color="auto" w:fill="FFE599" w:themeFill="accent4" w:themeFillTint="66"/>
          </w:tcPr>
          <w:p w14:paraId="2728B532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DC759AD" w14:textId="0E7158C9" w:rsidR="009118D7" w:rsidRDefault="009118D7" w:rsidP="00931E1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D67DBE1" w14:textId="4E350B20" w:rsidR="000A728F" w:rsidRDefault="0055530D" w:rsidP="0055530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Referencias Bibliográficas </w:t>
      </w:r>
    </w:p>
    <w:p w14:paraId="444C9097" w14:textId="77777777" w:rsidR="0055530D" w:rsidRPr="0055530D" w:rsidRDefault="0055530D" w:rsidP="0055530D">
      <w:pPr>
        <w:spacing w:line="480" w:lineRule="auto"/>
        <w:ind w:left="709" w:hanging="709"/>
        <w:rPr>
          <w:rFonts w:ascii="Times New Roman" w:hAnsi="Times New Roman" w:cs="Times New Roman"/>
          <w:bCs/>
          <w:sz w:val="24"/>
          <w:szCs w:val="24"/>
        </w:rPr>
      </w:pPr>
      <w:r w:rsidRPr="0055530D">
        <w:rPr>
          <w:rFonts w:ascii="Times New Roman" w:hAnsi="Times New Roman" w:cs="Times New Roman"/>
          <w:bCs/>
          <w:sz w:val="24"/>
          <w:szCs w:val="24"/>
        </w:rPr>
        <w:t xml:space="preserve">Bustos, </w:t>
      </w:r>
      <w:proofErr w:type="spellStart"/>
      <w:r w:rsidRPr="0055530D">
        <w:rPr>
          <w:rFonts w:ascii="Times New Roman" w:hAnsi="Times New Roman" w:cs="Times New Roman"/>
          <w:bCs/>
          <w:sz w:val="24"/>
          <w:szCs w:val="24"/>
        </w:rPr>
        <w:t>Jhon</w:t>
      </w:r>
      <w:proofErr w:type="spellEnd"/>
      <w:r w:rsidRPr="0055530D">
        <w:rPr>
          <w:rFonts w:ascii="Times New Roman" w:hAnsi="Times New Roman" w:cs="Times New Roman"/>
          <w:bCs/>
          <w:sz w:val="24"/>
          <w:szCs w:val="24"/>
        </w:rPr>
        <w:t>. F. (2020). Elementos básicos para la construcción de un proyecto de desarrollo social solidario contextualizado. UNAD. Recuperado de: http://selloeditorial.unad.edu.co/produccion/literatura-gris/notas-de-campus-ecsah</w:t>
      </w:r>
    </w:p>
    <w:p w14:paraId="64C8CDB8" w14:textId="53FDE488" w:rsidR="0055530D" w:rsidRPr="0055530D" w:rsidRDefault="0055530D" w:rsidP="0055530D">
      <w:pPr>
        <w:spacing w:line="480" w:lineRule="auto"/>
        <w:ind w:left="709" w:hanging="709"/>
        <w:rPr>
          <w:rFonts w:ascii="Times New Roman" w:hAnsi="Times New Roman" w:cs="Times New Roman"/>
          <w:bCs/>
          <w:sz w:val="24"/>
          <w:szCs w:val="24"/>
        </w:rPr>
      </w:pPr>
      <w:r w:rsidRPr="0055530D">
        <w:rPr>
          <w:rFonts w:ascii="Times New Roman" w:hAnsi="Times New Roman" w:cs="Times New Roman"/>
          <w:bCs/>
          <w:sz w:val="24"/>
          <w:szCs w:val="24"/>
        </w:rPr>
        <w:t>Márquez-García, A. (2019). Guía para dibujar los grafos PERT más complejos sin dificultad. Ediciones Díaz de Santos. (pp. 6 – 32). Recuperado de https://elibro-net.bibliotecavirtual.unad.edu.co/es/ereader/unad/118226?page=6</w:t>
      </w:r>
    </w:p>
    <w:p w14:paraId="18C901D2" w14:textId="58086539" w:rsidR="009118D7" w:rsidRPr="002C33D4" w:rsidRDefault="009118D7" w:rsidP="00931E1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C33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sectPr w:rsidR="009118D7" w:rsidRPr="002C33D4" w:rsidSect="00CA126B">
      <w:pgSz w:w="12240" w:h="15840"/>
      <w:pgMar w:top="1418" w:right="1418" w:bottom="1418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8D7"/>
    <w:rsid w:val="000444D0"/>
    <w:rsid w:val="000A728F"/>
    <w:rsid w:val="000D735D"/>
    <w:rsid w:val="00121B24"/>
    <w:rsid w:val="00191E38"/>
    <w:rsid w:val="00214598"/>
    <w:rsid w:val="002C33D4"/>
    <w:rsid w:val="002C4C11"/>
    <w:rsid w:val="0031386F"/>
    <w:rsid w:val="00336BE9"/>
    <w:rsid w:val="003B5380"/>
    <w:rsid w:val="003E465B"/>
    <w:rsid w:val="00404A58"/>
    <w:rsid w:val="004849A1"/>
    <w:rsid w:val="0055530D"/>
    <w:rsid w:val="005A7DCB"/>
    <w:rsid w:val="005E0192"/>
    <w:rsid w:val="00643202"/>
    <w:rsid w:val="00694DF4"/>
    <w:rsid w:val="007A35B7"/>
    <w:rsid w:val="00846142"/>
    <w:rsid w:val="008D6308"/>
    <w:rsid w:val="00906C77"/>
    <w:rsid w:val="009118D7"/>
    <w:rsid w:val="00924A36"/>
    <w:rsid w:val="00931E13"/>
    <w:rsid w:val="009B6BA5"/>
    <w:rsid w:val="00A12396"/>
    <w:rsid w:val="00A13BA4"/>
    <w:rsid w:val="00B113CB"/>
    <w:rsid w:val="00B91A77"/>
    <w:rsid w:val="00BC69CB"/>
    <w:rsid w:val="00BD748B"/>
    <w:rsid w:val="00C06841"/>
    <w:rsid w:val="00C301B3"/>
    <w:rsid w:val="00C94404"/>
    <w:rsid w:val="00CA126B"/>
    <w:rsid w:val="00CE09AE"/>
    <w:rsid w:val="00D95CCA"/>
    <w:rsid w:val="00E74D10"/>
    <w:rsid w:val="00E75036"/>
    <w:rsid w:val="00E83434"/>
    <w:rsid w:val="00ED200F"/>
    <w:rsid w:val="00F4568B"/>
    <w:rsid w:val="00F75838"/>
    <w:rsid w:val="00FA0C78"/>
    <w:rsid w:val="051D350A"/>
    <w:rsid w:val="0CD417FF"/>
    <w:rsid w:val="0E9EF02E"/>
    <w:rsid w:val="1657F39A"/>
    <w:rsid w:val="2751BC62"/>
    <w:rsid w:val="2E8116CF"/>
    <w:rsid w:val="3387A51C"/>
    <w:rsid w:val="34D72FF6"/>
    <w:rsid w:val="35857A15"/>
    <w:rsid w:val="39DE56B6"/>
    <w:rsid w:val="410DA590"/>
    <w:rsid w:val="4F324C9D"/>
    <w:rsid w:val="508754CD"/>
    <w:rsid w:val="587EDA43"/>
    <w:rsid w:val="5BD072ED"/>
    <w:rsid w:val="5F70FAC9"/>
    <w:rsid w:val="7DB913B0"/>
    <w:rsid w:val="7EF7F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A7BE8"/>
  <w15:chartTrackingRefBased/>
  <w15:docId w15:val="{BC34E778-EAEF-4794-83CC-78752A68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1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-Normal">
    <w:name w:val="LO-Normal"/>
    <w:qFormat/>
    <w:rsid w:val="00E74D10"/>
    <w:pPr>
      <w:suppressAutoHyphens/>
      <w:overflowPunct w:val="0"/>
      <w:spacing w:line="252" w:lineRule="auto"/>
      <w:textAlignment w:val="baseline"/>
    </w:pPr>
    <w:rPr>
      <w:rFonts w:ascii="Calibri" w:eastAsia="Calibri" w:hAnsi="Calibri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28DAC-A625-4264-9276-9740BC7A3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1024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ANA MARIA TIBADUIZA VEGA</cp:lastModifiedBy>
  <cp:revision>21</cp:revision>
  <dcterms:created xsi:type="dcterms:W3CDTF">2021-03-16T14:49:00Z</dcterms:created>
  <dcterms:modified xsi:type="dcterms:W3CDTF">2021-04-12T01:21:00Z</dcterms:modified>
</cp:coreProperties>
</file>