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EBE" w:rsidRPr="00D61D2D" w:rsidRDefault="00C55991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61D2D">
        <w:rPr>
          <w:rFonts w:ascii="Times New Roman" w:hAnsi="Times New Roman" w:cs="Times New Roman"/>
          <w:b/>
          <w:sz w:val="24"/>
          <w:szCs w:val="24"/>
          <w:lang w:val="es-ES"/>
        </w:rPr>
        <w:t>Tarea 2 Análisis teórico y formulación de objetivos y metas</w:t>
      </w:r>
    </w:p>
    <w:p w:rsidR="00841EBE" w:rsidRPr="00D61D2D" w:rsidRDefault="00841EBE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C55991" w:rsidRPr="00D61D2D" w:rsidRDefault="00C55991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C55991" w:rsidRPr="00D61D2D" w:rsidRDefault="00C55991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41EBE" w:rsidRPr="00D61D2D" w:rsidRDefault="00841EBE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61D2D"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:rsidR="00841EBE" w:rsidRPr="00D61D2D" w:rsidRDefault="00841EBE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61D2D">
        <w:rPr>
          <w:rFonts w:ascii="Times New Roman" w:hAnsi="Times New Roman" w:cs="Times New Roman"/>
          <w:sz w:val="24"/>
          <w:szCs w:val="24"/>
          <w:lang w:val="es-ES"/>
        </w:rPr>
        <w:t>Delson</w:t>
      </w:r>
      <w:proofErr w:type="spellEnd"/>
      <w:r w:rsidRPr="00D61D2D">
        <w:rPr>
          <w:rFonts w:ascii="Times New Roman" w:hAnsi="Times New Roman" w:cs="Times New Roman"/>
          <w:sz w:val="24"/>
          <w:szCs w:val="24"/>
          <w:lang w:val="es-ES"/>
        </w:rPr>
        <w:t xml:space="preserve"> Alejandro Pulido Silva</w:t>
      </w:r>
    </w:p>
    <w:p w:rsidR="00841EBE" w:rsidRPr="00D61D2D" w:rsidRDefault="00841EBE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61D2D">
        <w:rPr>
          <w:rFonts w:ascii="Times New Roman" w:hAnsi="Times New Roman" w:cs="Times New Roman"/>
          <w:sz w:val="24"/>
          <w:szCs w:val="24"/>
          <w:lang w:val="es-ES"/>
        </w:rPr>
        <w:t>Grupo 89</w:t>
      </w:r>
    </w:p>
    <w:p w:rsidR="00841EBE" w:rsidRPr="00D61D2D" w:rsidRDefault="00841EBE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41EBE" w:rsidRPr="00D61D2D" w:rsidRDefault="00841EBE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61D2D">
        <w:rPr>
          <w:rFonts w:ascii="Times New Roman" w:hAnsi="Times New Roman" w:cs="Times New Roman"/>
          <w:sz w:val="24"/>
          <w:szCs w:val="24"/>
          <w:lang w:val="es-ES"/>
        </w:rPr>
        <w:t>Tutor</w:t>
      </w:r>
    </w:p>
    <w:p w:rsidR="00841EBE" w:rsidRPr="00D61D2D" w:rsidRDefault="00841EBE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61D2D">
        <w:rPr>
          <w:rFonts w:ascii="Times New Roman" w:hAnsi="Times New Roman" w:cs="Times New Roman"/>
          <w:sz w:val="24"/>
          <w:szCs w:val="24"/>
          <w:lang w:val="es-ES"/>
        </w:rPr>
        <w:t>Brayan</w:t>
      </w:r>
      <w:proofErr w:type="spellEnd"/>
      <w:r w:rsidRPr="00D61D2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61D2D">
        <w:rPr>
          <w:rFonts w:ascii="Times New Roman" w:hAnsi="Times New Roman" w:cs="Times New Roman"/>
          <w:sz w:val="24"/>
          <w:szCs w:val="24"/>
          <w:lang w:val="es-ES"/>
        </w:rPr>
        <w:t>Andres</w:t>
      </w:r>
      <w:proofErr w:type="spellEnd"/>
      <w:r w:rsidRPr="00D61D2D">
        <w:rPr>
          <w:rFonts w:ascii="Times New Roman" w:hAnsi="Times New Roman" w:cs="Times New Roman"/>
          <w:sz w:val="24"/>
          <w:szCs w:val="24"/>
          <w:lang w:val="es-ES"/>
        </w:rPr>
        <w:t xml:space="preserve"> López</w:t>
      </w:r>
    </w:p>
    <w:p w:rsidR="00841EBE" w:rsidRPr="00D61D2D" w:rsidRDefault="00841EBE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41EBE" w:rsidRPr="00D61D2D" w:rsidRDefault="00841EBE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41EBE" w:rsidRPr="00D61D2D" w:rsidRDefault="00841EBE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41EBE" w:rsidRPr="00D61D2D" w:rsidRDefault="00841EBE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D2D">
        <w:rPr>
          <w:rFonts w:ascii="Times New Roman" w:hAnsi="Times New Roman" w:cs="Times New Roman"/>
          <w:sz w:val="24"/>
          <w:szCs w:val="24"/>
        </w:rPr>
        <w:t>Marzo 2021</w:t>
      </w:r>
    </w:p>
    <w:p w:rsidR="00841EBE" w:rsidRPr="00D61D2D" w:rsidRDefault="00841EBE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1EBE" w:rsidRPr="00D61D2D" w:rsidRDefault="00841EBE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D2D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:rsidR="00841EBE" w:rsidRPr="00D61D2D" w:rsidRDefault="00841EBE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D2D">
        <w:rPr>
          <w:rFonts w:ascii="Times New Roman" w:hAnsi="Times New Roman" w:cs="Times New Roman"/>
          <w:sz w:val="24"/>
          <w:szCs w:val="24"/>
        </w:rPr>
        <w:t>Escuela de Ciencias Sociales Artes y Humanidades ECSAH</w:t>
      </w:r>
    </w:p>
    <w:p w:rsidR="00841EBE" w:rsidRPr="00D61D2D" w:rsidRDefault="00841EBE" w:rsidP="000619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D2D">
        <w:rPr>
          <w:rFonts w:ascii="Times New Roman" w:hAnsi="Times New Roman" w:cs="Times New Roman"/>
          <w:sz w:val="24"/>
          <w:szCs w:val="24"/>
        </w:rPr>
        <w:t>Diseño de proyectos sociales 400002</w:t>
      </w:r>
    </w:p>
    <w:p w:rsidR="00601C36" w:rsidRPr="00D61D2D" w:rsidRDefault="00C55991" w:rsidP="000619C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61D2D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Tabla 1: Referente conceptual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3"/>
        <w:gridCol w:w="2231"/>
        <w:gridCol w:w="5616"/>
      </w:tblGrid>
      <w:tr w:rsidR="001624BC" w:rsidRPr="00D61D2D" w:rsidTr="0045191D">
        <w:tc>
          <w:tcPr>
            <w:tcW w:w="9350" w:type="dxa"/>
            <w:gridSpan w:val="3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Problemática:</w:t>
            </w:r>
            <w:r w:rsidR="000619C8"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r w:rsidR="000619C8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Cambio abrupto en la letalidad de</w:t>
            </w: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r w:rsidR="000619C8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r w:rsidR="00F5578B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ccidentes a peatones en el sur de Bogotá Localidad Rafael Uribe</w:t>
            </w:r>
          </w:p>
        </w:tc>
      </w:tr>
      <w:tr w:rsidR="00C55991" w:rsidRPr="00D61D2D" w:rsidTr="00361484">
        <w:tc>
          <w:tcPr>
            <w:tcW w:w="1503" w:type="dxa"/>
          </w:tcPr>
          <w:p w:rsidR="00361484" w:rsidRDefault="00361484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361484" w:rsidRDefault="00361484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361484" w:rsidRDefault="00361484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361484" w:rsidRDefault="00361484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361484" w:rsidRDefault="00361484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361484" w:rsidRDefault="00361484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361484" w:rsidRDefault="00361484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361484" w:rsidRDefault="00361484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C55991" w:rsidRPr="00D61D2D" w:rsidRDefault="00C55991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Concepto principal</w:t>
            </w:r>
          </w:p>
        </w:tc>
        <w:tc>
          <w:tcPr>
            <w:tcW w:w="2231" w:type="dxa"/>
          </w:tcPr>
          <w:p w:rsidR="00C55991" w:rsidRPr="00D61D2D" w:rsidRDefault="00D61D2D" w:rsidP="00061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Seguridad vial</w:t>
            </w:r>
          </w:p>
        </w:tc>
        <w:tc>
          <w:tcPr>
            <w:tcW w:w="5616" w:type="dxa"/>
          </w:tcPr>
          <w:p w:rsidR="001624BC" w:rsidRPr="00D61D2D" w:rsidRDefault="001624BC" w:rsidP="00D61D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Definición:</w:t>
            </w:r>
            <w:r w:rsidR="000619C8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 seguridad </w:t>
            </w:r>
            <w:r w:rsid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vial implica uno de los grandes </w:t>
            </w:r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retos de las sociedades posmodernas, que están</w:t>
            </w:r>
            <w:r w:rsid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marcadas por los desarrollos de las metrópolis, las</w:t>
            </w:r>
            <w:r w:rsid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ciudades y aún de los sectores rurales, y donde la</w:t>
            </w:r>
            <w:r w:rsid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incursión de los ve</w:t>
            </w:r>
            <w:r w:rsid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hículos tiene primacía, incluso sobre las personas. La seguridad peatonal se </w:t>
            </w:r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concibe desde una mirada integral que involucra la</w:t>
            </w:r>
            <w:r w:rsid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educación vial, </w:t>
            </w:r>
            <w:r w:rsid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ntendida esta como la adquisición</w:t>
            </w:r>
            <w:r w:rsid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hábitos que le permiten al ciudadano acomodar</w:t>
            </w:r>
            <w:r w:rsid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su comportamiento a normas y principios del</w:t>
            </w:r>
            <w:r w:rsid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tránsito y la seguridad peatonal, como uno de sus</w:t>
            </w:r>
            <w:r w:rsidR="000E01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  <w:r w:rsid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</w:t>
            </w:r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bjetivos</w:t>
            </w:r>
            <w:r w:rsid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 Se hace énfasis en que la seguridad vial debe ser entendida como un sistema social, donde todos los ciudadanos se ven involucrados.</w:t>
            </w:r>
          </w:p>
          <w:p w:rsidR="001624BC" w:rsidRPr="00D61D2D" w:rsidRDefault="001624BC" w:rsidP="00D61D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Autor:</w:t>
            </w:r>
            <w:r w:rsid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María Eugenia Pico Merchán, </w:t>
            </w:r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</w:t>
            </w:r>
            <w:r w:rsid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osa Elena González Pérez y </w:t>
            </w:r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Olga Patricia </w:t>
            </w:r>
            <w:proofErr w:type="spellStart"/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Noreña</w:t>
            </w:r>
            <w:proofErr w:type="spellEnd"/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61D2D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Aristizábal</w:t>
            </w:r>
            <w:proofErr w:type="spellEnd"/>
          </w:p>
          <w:p w:rsidR="00B5379C" w:rsidRPr="00250E8F" w:rsidRDefault="001624BC" w:rsidP="00061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Fuente:</w:t>
            </w:r>
            <w:r w:rsid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hyperlink r:id="rId4" w:history="1">
              <w:r w:rsidR="00B5379C" w:rsidRPr="00D35697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ES"/>
                </w:rPr>
                <w:t>http://www.scielo.org.co/pdf/hpsal/v16n2/v16n2a14.pdf</w:t>
              </w:r>
            </w:hyperlink>
          </w:p>
        </w:tc>
      </w:tr>
      <w:tr w:rsidR="00C55991" w:rsidRPr="00D61D2D" w:rsidTr="00361484">
        <w:tc>
          <w:tcPr>
            <w:tcW w:w="1503" w:type="dxa"/>
          </w:tcPr>
          <w:p w:rsidR="00361484" w:rsidRDefault="00361484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361484" w:rsidRDefault="00361484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361484" w:rsidRDefault="00361484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C55991" w:rsidRPr="00D61D2D" w:rsidRDefault="00C55991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Conceptos Vinculados</w:t>
            </w:r>
          </w:p>
        </w:tc>
        <w:tc>
          <w:tcPr>
            <w:tcW w:w="2231" w:type="dxa"/>
          </w:tcPr>
          <w:p w:rsidR="00C55991" w:rsidRDefault="00B5379C" w:rsidP="00061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Exceso de velocidad</w:t>
            </w:r>
          </w:p>
          <w:p w:rsidR="00B5379C" w:rsidRDefault="00361484" w:rsidP="0036148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Uso de puentes, senderos y cebras peatonales. </w:t>
            </w:r>
          </w:p>
          <w:p w:rsidR="00593198" w:rsidRDefault="00361484" w:rsidP="00061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</w:t>
            </w:r>
            <w:r w:rsidR="0059319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eñalización.</w:t>
            </w:r>
          </w:p>
          <w:p w:rsidR="00593198" w:rsidRDefault="00593198" w:rsidP="00061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Imprudencia </w:t>
            </w:r>
          </w:p>
          <w:p w:rsidR="00593198" w:rsidRDefault="00593198" w:rsidP="00061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Distracción</w:t>
            </w:r>
          </w:p>
          <w:p w:rsidR="00593198" w:rsidRPr="00B5379C" w:rsidRDefault="00593198" w:rsidP="00061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616" w:type="dxa"/>
          </w:tcPr>
          <w:p w:rsidR="00C55991" w:rsidRPr="00D61D2D" w:rsidRDefault="00C55991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361484" w:rsidRPr="00D61D2D" w:rsidTr="00361484">
        <w:tc>
          <w:tcPr>
            <w:tcW w:w="1503" w:type="dxa"/>
            <w:vMerge w:val="restart"/>
          </w:tcPr>
          <w:p w:rsidR="00361484" w:rsidRDefault="00361484" w:rsidP="0036148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361484" w:rsidRDefault="00361484" w:rsidP="0036148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361484" w:rsidRDefault="00361484" w:rsidP="0036148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361484" w:rsidRPr="00D61D2D" w:rsidRDefault="00361484" w:rsidP="0036148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Conceptos</w:t>
            </w:r>
          </w:p>
          <w:p w:rsidR="00361484" w:rsidRPr="00D61D2D" w:rsidRDefault="00361484" w:rsidP="0036148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priorizados</w:t>
            </w:r>
          </w:p>
        </w:tc>
        <w:tc>
          <w:tcPr>
            <w:tcW w:w="2231" w:type="dxa"/>
          </w:tcPr>
          <w:p w:rsidR="00361484" w:rsidRDefault="00361484" w:rsidP="0036148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 de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puentes, senderos y cebras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peatonales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361484" w:rsidRPr="00D61D2D" w:rsidRDefault="00361484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5616" w:type="dxa"/>
          </w:tcPr>
          <w:p w:rsidR="00361484" w:rsidRDefault="00361484" w:rsidP="00250E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Definición: </w:t>
            </w:r>
            <w:r w:rsidR="00250E8F" w:rsidRP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 senda peatonal es fácilmente reconocible porque es una columna relativamente ancha compuesta de líneas blancas horizontales por las cuales tienen autorizado el cruce las </w:t>
            </w:r>
            <w:r w:rsidR="00250E8F" w:rsidRP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personas. Se</w:t>
            </w:r>
            <w:r w:rsidR="00250E8F" w:rsidRP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encuentran siempre en las esquinas de las calles y su objetivo principal es organizar el tránsito de </w:t>
            </w:r>
            <w:r w:rsidR="00250E8F" w:rsidRP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peatones,</w:t>
            </w:r>
            <w:r w:rsidR="00250E8F" w:rsidRP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así como también protegerlos de los automóviles que </w:t>
            </w:r>
            <w:r w:rsid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pasan por cada calle o avenida. </w:t>
            </w:r>
            <w:r w:rsidR="00250E8F" w:rsidRP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Esto es así porque los autos deben parar siempre detrás de la senda peatonal ante un semáforo en rojo, dejando entonces asegurado un espacio cómodo y amplio para las personas que van a pie.</w:t>
            </w:r>
          </w:p>
          <w:p w:rsidR="00361484" w:rsidRDefault="00361484" w:rsidP="00061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Autor:</w:t>
            </w:r>
            <w:r w:rsid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Gilberto Mauricio García Orozco.</w:t>
            </w:r>
          </w:p>
          <w:p w:rsidR="00361484" w:rsidRPr="00361484" w:rsidRDefault="00361484" w:rsidP="00061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Fuente:</w:t>
            </w:r>
            <w:r w:rsid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hyperlink r:id="rId5" w:history="1">
              <w:r w:rsidR="00250E8F" w:rsidRPr="00D35697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ES"/>
                </w:rPr>
                <w:t>https://www.pruebaderuta.com/las-cebras-el-sendero-del-peaton.php</w:t>
              </w:r>
            </w:hyperlink>
            <w:r w:rsid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361484" w:rsidRPr="00D61D2D" w:rsidTr="00361484">
        <w:tc>
          <w:tcPr>
            <w:tcW w:w="1503" w:type="dxa"/>
            <w:vMerge/>
          </w:tcPr>
          <w:p w:rsidR="00361484" w:rsidRPr="00D61D2D" w:rsidRDefault="00361484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31" w:type="dxa"/>
          </w:tcPr>
          <w:p w:rsidR="00361484" w:rsidRPr="00250E8F" w:rsidRDefault="00250E8F" w:rsidP="0036148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Señalización</w:t>
            </w:r>
          </w:p>
        </w:tc>
        <w:tc>
          <w:tcPr>
            <w:tcW w:w="5616" w:type="dxa"/>
          </w:tcPr>
          <w:p w:rsidR="00250E8F" w:rsidRPr="00250E8F" w:rsidRDefault="00361484" w:rsidP="00250E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Definición: </w:t>
            </w:r>
            <w:r w:rsid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250E8F" w:rsidRP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 señalización vial responde a la necesidad de organizar y brindar seguridad en caminos, </w:t>
            </w:r>
            <w:r w:rsidR="00250E8F" w:rsidRP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calles, pistas o</w:t>
            </w:r>
            <w:r w:rsid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250E8F" w:rsidRP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carreteras. La vida y la integridad de quienes transitan por dichas vías dependen de lo que la</w:t>
            </w:r>
          </w:p>
          <w:p w:rsidR="00361484" w:rsidRDefault="00250E8F" w:rsidP="00250E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señalización indique, de la atención que se le preste y de la responsabilidad de asumir lo que ordenen.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ese sentido, el lenguaje vial guía tanto a transeúntes como a conductores por el camino de 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seguridad y la prevención de cualquier tragedia.</w:t>
            </w:r>
          </w:p>
          <w:p w:rsidR="00361484" w:rsidRDefault="00361484" w:rsidP="0036148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Autor:</w:t>
            </w:r>
            <w:r w:rsid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250E8F" w:rsidRP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Juan Carlos </w:t>
            </w:r>
            <w:proofErr w:type="spellStart"/>
            <w:r w:rsidR="00250E8F" w:rsidRP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Dextre</w:t>
            </w:r>
            <w:proofErr w:type="spellEnd"/>
          </w:p>
          <w:p w:rsidR="00361484" w:rsidRPr="00361484" w:rsidRDefault="00361484" w:rsidP="0036148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Fuente:</w:t>
            </w:r>
            <w:r w:rsid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hyperlink r:id="rId6" w:history="1">
              <w:r w:rsidR="00250E8F" w:rsidRPr="00D35697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ES"/>
                </w:rPr>
                <w:t>http://www.institutoivia.com/cisev-ponencias/control_gestion_gt/Juan_Carlos_Dextre.pdf</w:t>
              </w:r>
            </w:hyperlink>
            <w:r w:rsidR="00250E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361484" w:rsidRPr="00D61D2D" w:rsidTr="00361484">
        <w:tc>
          <w:tcPr>
            <w:tcW w:w="1503" w:type="dxa"/>
            <w:vMerge/>
          </w:tcPr>
          <w:p w:rsidR="00361484" w:rsidRPr="00D61D2D" w:rsidRDefault="00361484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31" w:type="dxa"/>
          </w:tcPr>
          <w:p w:rsidR="00361484" w:rsidRDefault="00AB421D" w:rsidP="0036148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Distracción</w:t>
            </w:r>
            <w:r w:rsidR="0036148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361484" w:rsidRPr="00D61D2D" w:rsidRDefault="00361484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5616" w:type="dxa"/>
          </w:tcPr>
          <w:p w:rsidR="00361484" w:rsidRDefault="00361484" w:rsidP="0036148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Definición: </w:t>
            </w:r>
            <w:r w:rsidR="00AB421D" w:rsidRPr="00AB42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produce una distracción en la conducción cuando algún suceso, actividad, objeto o persona, dentro o fuera del vehículo, captan la atención del conductor y la desvían de la tarea de conducir. Una avispa en el interior del vehículo, dos niños que se pelean en el asiento trasero, una llamada en el teléfono móvil o un perro muerto en la cuneta, son ejemplos de estímulos que pueden distraer al conductor y, en consecuencia, provocar un accidente.</w:t>
            </w:r>
          </w:p>
          <w:p w:rsidR="00361484" w:rsidRDefault="00361484" w:rsidP="0036148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Autor:</w:t>
            </w:r>
            <w:r w:rsidR="00B26D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Charlas de seguridad</w:t>
            </w:r>
          </w:p>
          <w:p w:rsidR="00361484" w:rsidRPr="00D61D2D" w:rsidRDefault="00361484" w:rsidP="0036148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Fuente:</w:t>
            </w:r>
            <w:r w:rsidR="00B26D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hyperlink r:id="rId7" w:history="1">
              <w:r w:rsidR="00B26D48" w:rsidRPr="00D35697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ES"/>
                </w:rPr>
                <w:t>https://charlasdeseguridad.com.ar/2012/10/definicion-</w:t>
              </w:r>
              <w:r w:rsidR="00B26D48" w:rsidRPr="00D35697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ES"/>
                </w:rPr>
                <w:lastRenderedPageBreak/>
                <w:t>de-las-distracciones%E2%80%8F-como-problema-de-seguridad-vial/</w:t>
              </w:r>
            </w:hyperlink>
            <w:r w:rsidR="00B26D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</w:tbl>
    <w:p w:rsidR="00C55991" w:rsidRPr="00D61D2D" w:rsidRDefault="00C55991" w:rsidP="000619C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624BC" w:rsidRPr="00D61D2D" w:rsidRDefault="001624BC" w:rsidP="000619C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61D2D">
        <w:rPr>
          <w:rFonts w:ascii="Times New Roman" w:hAnsi="Times New Roman" w:cs="Times New Roman"/>
          <w:b/>
          <w:sz w:val="24"/>
          <w:szCs w:val="24"/>
          <w:lang w:val="es-ES"/>
        </w:rPr>
        <w:t>Tabla 2: Articulación referente-objetivos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1624BC" w:rsidRPr="00D61D2D" w:rsidTr="001A63CF">
        <w:tc>
          <w:tcPr>
            <w:tcW w:w="9350" w:type="dxa"/>
            <w:gridSpan w:val="2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Problemática:</w:t>
            </w:r>
            <w:r w:rsidR="00F5578B"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r w:rsidR="000619C8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Cambio abrupto en la letalidad de</w:t>
            </w:r>
            <w:r w:rsidR="000619C8"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r w:rsidR="000619C8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accidentes a peatones en el sur de Bogotá Localidad Rafael Uribe</w:t>
            </w:r>
          </w:p>
        </w:tc>
      </w:tr>
      <w:tr w:rsidR="001624BC" w:rsidRPr="00D61D2D" w:rsidTr="001624BC">
        <w:tc>
          <w:tcPr>
            <w:tcW w:w="2547" w:type="dxa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Conceptos seleccionados</w:t>
            </w:r>
          </w:p>
        </w:tc>
        <w:tc>
          <w:tcPr>
            <w:tcW w:w="6803" w:type="dxa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1624BC" w:rsidRPr="00D61D2D" w:rsidTr="001624BC">
        <w:tc>
          <w:tcPr>
            <w:tcW w:w="2547" w:type="dxa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Concepto principal o</w:t>
            </w:r>
          </w:p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concepto guía:</w:t>
            </w:r>
          </w:p>
        </w:tc>
        <w:tc>
          <w:tcPr>
            <w:tcW w:w="6803" w:type="dxa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General</w:t>
            </w:r>
          </w:p>
        </w:tc>
      </w:tr>
      <w:tr w:rsidR="001624BC" w:rsidRPr="00D61D2D" w:rsidTr="001624BC">
        <w:tc>
          <w:tcPr>
            <w:tcW w:w="2547" w:type="dxa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Concepto aportante 1:</w:t>
            </w:r>
          </w:p>
        </w:tc>
        <w:tc>
          <w:tcPr>
            <w:tcW w:w="6803" w:type="dxa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Especifico 1:</w:t>
            </w:r>
          </w:p>
        </w:tc>
      </w:tr>
      <w:tr w:rsidR="001624BC" w:rsidRPr="00D61D2D" w:rsidTr="001624BC">
        <w:tc>
          <w:tcPr>
            <w:tcW w:w="2547" w:type="dxa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Concepto aportante 2:</w:t>
            </w:r>
          </w:p>
        </w:tc>
        <w:tc>
          <w:tcPr>
            <w:tcW w:w="6803" w:type="dxa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Especifico 2:</w:t>
            </w:r>
          </w:p>
        </w:tc>
      </w:tr>
      <w:tr w:rsidR="001624BC" w:rsidRPr="00D61D2D" w:rsidTr="001624BC">
        <w:trPr>
          <w:trHeight w:val="70"/>
        </w:trPr>
        <w:tc>
          <w:tcPr>
            <w:tcW w:w="2547" w:type="dxa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Concepto aportante 3:</w:t>
            </w:r>
          </w:p>
        </w:tc>
        <w:tc>
          <w:tcPr>
            <w:tcW w:w="6803" w:type="dxa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Especifico 3:</w:t>
            </w:r>
          </w:p>
        </w:tc>
      </w:tr>
    </w:tbl>
    <w:p w:rsidR="001624BC" w:rsidRPr="00D61D2D" w:rsidRDefault="001624BC" w:rsidP="000619C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624BC" w:rsidRPr="00D61D2D" w:rsidRDefault="001624BC" w:rsidP="000619C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624BC" w:rsidRPr="00D61D2D" w:rsidRDefault="001624BC" w:rsidP="000619C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61D2D">
        <w:rPr>
          <w:rFonts w:ascii="Times New Roman" w:hAnsi="Times New Roman" w:cs="Times New Roman"/>
          <w:b/>
          <w:sz w:val="24"/>
          <w:szCs w:val="24"/>
          <w:lang w:val="es-ES"/>
        </w:rPr>
        <w:t>Tabla 3: Meta de impacto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361E3" w:rsidRPr="00D61D2D" w:rsidTr="000065E1">
        <w:tc>
          <w:tcPr>
            <w:tcW w:w="9350" w:type="dxa"/>
            <w:gridSpan w:val="2"/>
          </w:tcPr>
          <w:p w:rsidR="00B361E3" w:rsidRPr="00D61D2D" w:rsidRDefault="00B361E3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Problemática: </w:t>
            </w:r>
            <w:r w:rsidR="000619C8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Cambio abrupto en la letalidad de</w:t>
            </w:r>
            <w:r w:rsidR="000619C8"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r w:rsidR="000619C8" w:rsidRPr="00D61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accidentes a peatones en el sur de Bogotá Localidad Rafael Uribe</w:t>
            </w:r>
          </w:p>
        </w:tc>
      </w:tr>
      <w:tr w:rsidR="001624BC" w:rsidRPr="00D61D2D" w:rsidTr="00B361E3">
        <w:tc>
          <w:tcPr>
            <w:tcW w:w="2263" w:type="dxa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Indicador</w:t>
            </w:r>
          </w:p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problemático/</w:t>
            </w:r>
          </w:p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Año anterior</w:t>
            </w:r>
          </w:p>
        </w:tc>
        <w:tc>
          <w:tcPr>
            <w:tcW w:w="7087" w:type="dxa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1624BC" w:rsidRPr="00D61D2D" w:rsidTr="00B361E3">
        <w:tc>
          <w:tcPr>
            <w:tcW w:w="2263" w:type="dxa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Meta de impacto</w:t>
            </w:r>
          </w:p>
        </w:tc>
        <w:tc>
          <w:tcPr>
            <w:tcW w:w="7087" w:type="dxa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1624BC" w:rsidRPr="00D61D2D" w:rsidTr="00B361E3">
        <w:tc>
          <w:tcPr>
            <w:tcW w:w="2263" w:type="dxa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61D2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Indicador de impacto</w:t>
            </w:r>
          </w:p>
        </w:tc>
        <w:tc>
          <w:tcPr>
            <w:tcW w:w="7087" w:type="dxa"/>
          </w:tcPr>
          <w:p w:rsidR="001624BC" w:rsidRPr="00D61D2D" w:rsidRDefault="001624BC" w:rsidP="000619C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:rsidR="001624BC" w:rsidRPr="00D61D2D" w:rsidRDefault="001624BC" w:rsidP="000619C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sectPr w:rsidR="001624BC" w:rsidRPr="00D61D2D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36"/>
    <w:rsid w:val="000619C8"/>
    <w:rsid w:val="000C5108"/>
    <w:rsid w:val="000E012E"/>
    <w:rsid w:val="001624BC"/>
    <w:rsid w:val="00250E8F"/>
    <w:rsid w:val="00361484"/>
    <w:rsid w:val="00593198"/>
    <w:rsid w:val="00601C36"/>
    <w:rsid w:val="00841EBE"/>
    <w:rsid w:val="008861CF"/>
    <w:rsid w:val="00AB421D"/>
    <w:rsid w:val="00B26D48"/>
    <w:rsid w:val="00B361E3"/>
    <w:rsid w:val="00B5379C"/>
    <w:rsid w:val="00C55991"/>
    <w:rsid w:val="00D61D2D"/>
    <w:rsid w:val="00F2006C"/>
    <w:rsid w:val="00F5578B"/>
    <w:rsid w:val="00F9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97C9"/>
  <w15:chartTrackingRefBased/>
  <w15:docId w15:val="{B102B23D-027A-4026-A456-A67B06B5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EBE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5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537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rlasdeseguridad.com.ar/2012/10/definicion-de-las-distracciones%E2%80%8F-como-problema-de-seguridad-vi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stitutoivia.com/cisev-ponencias/control_gestion_gt/Juan_Carlos_Dextre.pdf" TargetMode="External"/><Relationship Id="rId5" Type="http://schemas.openxmlformats.org/officeDocument/2006/relationships/hyperlink" Target="https://www.pruebaderuta.com/las-cebras-el-sendero-del-peaton.php" TargetMode="External"/><Relationship Id="rId4" Type="http://schemas.openxmlformats.org/officeDocument/2006/relationships/hyperlink" Target="http://www.scielo.org.co/pdf/hpsal/v16n2/v16n2a14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2021-02-26T19:12:00Z</dcterms:created>
  <dcterms:modified xsi:type="dcterms:W3CDTF">2021-02-27T18:32:00Z</dcterms:modified>
</cp:coreProperties>
</file>