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CB5" w:rsidRPr="00F636E2" w:rsidRDefault="00F636E2">
      <w:pPr>
        <w:rPr>
          <w:b/>
          <w:lang w:val="es-ES"/>
        </w:rPr>
      </w:pPr>
      <w:r w:rsidRPr="006E031F">
        <w:rPr>
          <w:rFonts w:ascii="Verdana" w:hAnsi="Verdana"/>
          <w:b/>
          <w:color w:val="212529"/>
          <w:sz w:val="27"/>
          <w:szCs w:val="27"/>
          <w:lang w:val="es-ES"/>
        </w:rPr>
        <w:t>700004_793</w:t>
      </w:r>
    </w:p>
    <w:p w:rsidR="0010338D" w:rsidRDefault="003F2CB5">
      <w:pPr>
        <w:rPr>
          <w:lang w:val="es-ES"/>
        </w:rPr>
      </w:pPr>
      <w:r w:rsidRPr="003F2CB5">
        <w:rPr>
          <w:lang w:val="es-ES"/>
        </w:rPr>
        <w:t xml:space="preserve">En esta idea reside lo que </w:t>
      </w:r>
      <w:proofErr w:type="spellStart"/>
      <w:r w:rsidRPr="003F2CB5">
        <w:rPr>
          <w:lang w:val="es-ES"/>
        </w:rPr>
        <w:t>Habermas</w:t>
      </w:r>
      <w:proofErr w:type="spellEnd"/>
      <w:r w:rsidRPr="003F2CB5">
        <w:rPr>
          <w:lang w:val="es-ES"/>
        </w:rPr>
        <w:t xml:space="preserve"> va a llamar como “mundo de la vida”, que se compone de tres aspectos: la cultura, la sociedad y la personalidad, cada uno de los cuales hace referencia a pautas interpretativas o suposiciones sobre cómo la cultura ejerce una influencia sobre la acción, sobre cómo se van estableciendo pautas determinadas en las interacciones sociales de los sujetos y finalmente, como se estructura un modo de ser de los individuos.</w:t>
      </w:r>
    </w:p>
    <w:p w:rsidR="003F2CB5" w:rsidRDefault="003F2CB5" w:rsidP="003F2CB5">
      <w:pPr>
        <w:rPr>
          <w:lang w:val="es-ES"/>
        </w:rPr>
      </w:pPr>
      <w:r w:rsidRPr="003F2CB5">
        <w:rPr>
          <w:lang w:val="es-ES"/>
        </w:rPr>
        <w:t xml:space="preserve">Por ello, </w:t>
      </w:r>
      <w:proofErr w:type="spellStart"/>
      <w:r w:rsidRPr="003F2CB5">
        <w:rPr>
          <w:lang w:val="es-ES"/>
        </w:rPr>
        <w:t>Habermas</w:t>
      </w:r>
      <w:proofErr w:type="spellEnd"/>
      <w:r w:rsidRPr="003F2CB5">
        <w:rPr>
          <w:lang w:val="es-ES"/>
        </w:rPr>
        <w:t xml:space="preserve"> recurre a la revisión histórica de la Sociología desde Durkheim y formula una </w:t>
      </w:r>
      <w:proofErr w:type="spellStart"/>
      <w:r w:rsidRPr="003F2CB5">
        <w:rPr>
          <w:lang w:val="es-ES"/>
        </w:rPr>
        <w:t>tipologización</w:t>
      </w:r>
      <w:proofErr w:type="spellEnd"/>
      <w:r w:rsidRPr="003F2CB5">
        <w:rPr>
          <w:lang w:val="es-ES"/>
        </w:rPr>
        <w:t xml:space="preserve"> de la acción social:</w:t>
      </w:r>
    </w:p>
    <w:p w:rsidR="003F2CB5" w:rsidRDefault="003F2CB5" w:rsidP="003F2CB5">
      <w:pPr>
        <w:rPr>
          <w:lang w:val="es-ES"/>
        </w:rPr>
      </w:pPr>
      <w:r w:rsidRPr="003F2CB5">
        <w:rPr>
          <w:lang w:val="es-ES"/>
        </w:rPr>
        <w:t xml:space="preserve">La acción estratégica o teleológica: Es aquella asociada a una finalidad consiente. </w:t>
      </w:r>
    </w:p>
    <w:p w:rsidR="003F2CB5" w:rsidRDefault="003F2CB5" w:rsidP="003F2CB5">
      <w:pPr>
        <w:rPr>
          <w:lang w:val="es-ES"/>
        </w:rPr>
      </w:pPr>
      <w:r w:rsidRPr="003F2CB5">
        <w:rPr>
          <w:lang w:val="es-ES"/>
        </w:rPr>
        <w:t xml:space="preserve">La acción regulada por normas: Es aquella asociada a valores compartidos y legitimados por los sujetos en la vida social. </w:t>
      </w:r>
    </w:p>
    <w:p w:rsidR="003F2CB5" w:rsidRDefault="003F2CB5" w:rsidP="003F2CB5">
      <w:pPr>
        <w:rPr>
          <w:lang w:val="es-ES"/>
        </w:rPr>
      </w:pPr>
      <w:r w:rsidRPr="003F2CB5">
        <w:rPr>
          <w:lang w:val="es-ES"/>
        </w:rPr>
        <w:t xml:space="preserve">La acción dramatúrgica: Asociada a la manifestación plena de la subjetividad individual. </w:t>
      </w:r>
    </w:p>
    <w:p w:rsidR="003F2CB5" w:rsidRDefault="003F2CB5" w:rsidP="003F2CB5">
      <w:pPr>
        <w:rPr>
          <w:lang w:val="es-ES"/>
        </w:rPr>
      </w:pPr>
      <w:r w:rsidRPr="003F2CB5">
        <w:rPr>
          <w:lang w:val="es-ES"/>
        </w:rPr>
        <w:t>La acción comunicativa: Es la interacción entre dos sujetos capaces de comunicarse lingüísticamente y de efectuar acciones para establecer una relación interpersonal.</w:t>
      </w:r>
    </w:p>
    <w:p w:rsidR="003F2CB5" w:rsidRDefault="003F2CB5" w:rsidP="003F2CB5">
      <w:pPr>
        <w:rPr>
          <w:lang w:val="es-ES"/>
        </w:rPr>
      </w:pPr>
    </w:p>
    <w:p w:rsidR="003F2CB5" w:rsidRDefault="00FB215B" w:rsidP="003F2CB5">
      <w:pPr>
        <w:rPr>
          <w:lang w:val="es-ES"/>
        </w:rPr>
      </w:pPr>
      <w:hyperlink r:id="rId5" w:history="1">
        <w:r w:rsidR="00A777D4" w:rsidRPr="0027117D">
          <w:rPr>
            <w:rStyle w:val="Hipervnculo"/>
            <w:lang w:val="es-ES"/>
          </w:rPr>
          <w:t>https://repository.unad.edu.co/handle/10596/12578</w:t>
        </w:r>
      </w:hyperlink>
    </w:p>
    <w:p w:rsidR="00A777D4" w:rsidRDefault="006F7A77" w:rsidP="003F2CB5">
      <w:pPr>
        <w:rPr>
          <w:lang w:val="es-ES"/>
        </w:rPr>
      </w:pPr>
      <w:r>
        <w:rPr>
          <w:noProof/>
        </w:rPr>
        <w:drawing>
          <wp:inline distT="0" distB="0" distL="0" distR="0" wp14:anchorId="386A7F93" wp14:editId="165F8B52">
            <wp:extent cx="5612130" cy="31692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69285"/>
                    </a:xfrm>
                    <a:prstGeom prst="rect">
                      <a:avLst/>
                    </a:prstGeom>
                  </pic:spPr>
                </pic:pic>
              </a:graphicData>
            </a:graphic>
          </wp:inline>
        </w:drawing>
      </w:r>
    </w:p>
    <w:p w:rsidR="006F7A77" w:rsidRDefault="006F7A77" w:rsidP="003F2CB5">
      <w:pPr>
        <w:rPr>
          <w:lang w:val="es-ES"/>
        </w:rPr>
      </w:pPr>
      <w:r>
        <w:rPr>
          <w:noProof/>
        </w:rPr>
        <w:lastRenderedPageBreak/>
        <w:drawing>
          <wp:inline distT="0" distB="0" distL="0" distR="0" wp14:anchorId="565B5C21" wp14:editId="37A48E65">
            <wp:extent cx="5612130" cy="31692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69285"/>
                    </a:xfrm>
                    <a:prstGeom prst="rect">
                      <a:avLst/>
                    </a:prstGeom>
                  </pic:spPr>
                </pic:pic>
              </a:graphicData>
            </a:graphic>
          </wp:inline>
        </w:drawing>
      </w:r>
    </w:p>
    <w:p w:rsidR="00F636E2" w:rsidRDefault="00F636E2" w:rsidP="003F2CB5">
      <w:pPr>
        <w:rPr>
          <w:lang w:val="es-ES"/>
        </w:rPr>
      </w:pPr>
    </w:p>
    <w:p w:rsidR="00F636E2" w:rsidRPr="00F636E2" w:rsidRDefault="00F636E2" w:rsidP="003F2CB5">
      <w:pPr>
        <w:rPr>
          <w:lang w:val="es-ES"/>
        </w:rPr>
      </w:pPr>
      <w:r>
        <w:rPr>
          <w:lang w:val="es-ES"/>
        </w:rPr>
        <w:t>E</w:t>
      </w:r>
      <w:r w:rsidRPr="00F636E2">
        <w:rPr>
          <w:lang w:val="es-ES"/>
        </w:rPr>
        <w:t>l desarrollo sustentable tiene que ver, por consiguiente, con la formulación, concertación y gestión de un nuevo tipo de políticas públicas, así como con el potenciamiento de los actores sociales colectivos, de tal suerte que las decisiones concertadas y planificadas, que guíen las actuales y futuras inversiones públicas y privadas, tomen en cuenta los criterios de balance y resguardo de la capacidad reproductiva y regenerativa de los distintos tipos de capital: el humano, el natural, la infraestructura física, el económico y financiero y, finalmente, el institucional.</w:t>
      </w:r>
    </w:p>
    <w:p w:rsidR="00F636E2" w:rsidRDefault="00F636E2" w:rsidP="003F2CB5">
      <w:pPr>
        <w:rPr>
          <w:lang w:val="es-ES"/>
        </w:rPr>
      </w:pPr>
    </w:p>
    <w:p w:rsidR="007F7998" w:rsidRDefault="007F7998" w:rsidP="003F2CB5">
      <w:pPr>
        <w:rPr>
          <w:rFonts w:ascii="Arial" w:hAnsi="Arial" w:cs="Arial"/>
          <w:color w:val="007691"/>
          <w:spacing w:val="8"/>
          <w:sz w:val="35"/>
          <w:szCs w:val="35"/>
          <w:shd w:val="clear" w:color="auto" w:fill="FFFFFF"/>
        </w:rPr>
      </w:pPr>
      <w:r>
        <w:rPr>
          <w:rFonts w:ascii="Arial" w:hAnsi="Arial" w:cs="Arial"/>
          <w:color w:val="007691"/>
          <w:spacing w:val="8"/>
          <w:sz w:val="35"/>
          <w:szCs w:val="35"/>
          <w:shd w:val="clear" w:color="auto" w:fill="FFFFFF"/>
        </w:rPr>
        <w:t xml:space="preserve">Los 17 </w:t>
      </w:r>
      <w:proofErr w:type="spellStart"/>
      <w:r>
        <w:rPr>
          <w:rFonts w:ascii="Arial" w:hAnsi="Arial" w:cs="Arial"/>
          <w:color w:val="007691"/>
          <w:spacing w:val="8"/>
          <w:sz w:val="35"/>
          <w:szCs w:val="35"/>
          <w:shd w:val="clear" w:color="auto" w:fill="FFFFFF"/>
        </w:rPr>
        <w:t>Objetivos</w:t>
      </w:r>
      <w:proofErr w:type="spellEnd"/>
      <w:r>
        <w:rPr>
          <w:rFonts w:ascii="Arial" w:hAnsi="Arial" w:cs="Arial"/>
          <w:color w:val="007691"/>
          <w:spacing w:val="8"/>
          <w:sz w:val="35"/>
          <w:szCs w:val="35"/>
          <w:shd w:val="clear" w:color="auto" w:fill="FFFFFF"/>
        </w:rPr>
        <w:t xml:space="preserve"> de </w:t>
      </w:r>
      <w:proofErr w:type="spellStart"/>
      <w:r>
        <w:rPr>
          <w:rFonts w:ascii="Arial" w:hAnsi="Arial" w:cs="Arial"/>
          <w:color w:val="007691"/>
          <w:spacing w:val="8"/>
          <w:sz w:val="35"/>
          <w:szCs w:val="35"/>
          <w:shd w:val="clear" w:color="auto" w:fill="FFFFFF"/>
        </w:rPr>
        <w:t>Desarrollo</w:t>
      </w:r>
      <w:proofErr w:type="spellEnd"/>
      <w:r>
        <w:rPr>
          <w:rFonts w:ascii="Arial" w:hAnsi="Arial" w:cs="Arial"/>
          <w:color w:val="007691"/>
          <w:spacing w:val="8"/>
          <w:sz w:val="35"/>
          <w:szCs w:val="35"/>
          <w:shd w:val="clear" w:color="auto" w:fill="FFFFFF"/>
        </w:rPr>
        <w:t xml:space="preserve"> </w:t>
      </w:r>
      <w:proofErr w:type="spellStart"/>
      <w:r>
        <w:rPr>
          <w:rFonts w:ascii="Arial" w:hAnsi="Arial" w:cs="Arial"/>
          <w:color w:val="007691"/>
          <w:spacing w:val="8"/>
          <w:sz w:val="35"/>
          <w:szCs w:val="35"/>
          <w:shd w:val="clear" w:color="auto" w:fill="FFFFFF"/>
        </w:rPr>
        <w:t>Sostenible</w:t>
      </w:r>
      <w:proofErr w:type="spellEnd"/>
    </w:p>
    <w:p w:rsidR="007F7998" w:rsidRPr="007F7998" w:rsidRDefault="007F7998" w:rsidP="003F2CB5">
      <w:pPr>
        <w:rPr>
          <w:rFonts w:ascii="Arial" w:hAnsi="Arial" w:cs="Arial"/>
          <w:color w:val="333333"/>
          <w:sz w:val="25"/>
          <w:szCs w:val="25"/>
          <w:shd w:val="clear" w:color="auto" w:fill="F5F7F8"/>
          <w:lang w:val="es-ES"/>
        </w:rPr>
      </w:pPr>
      <w:r w:rsidRPr="007F7998">
        <w:rPr>
          <w:rStyle w:val="Textoennegrita"/>
          <w:rFonts w:ascii="Arial" w:hAnsi="Arial" w:cs="Arial"/>
          <w:color w:val="333333"/>
          <w:sz w:val="25"/>
          <w:szCs w:val="25"/>
          <w:shd w:val="clear" w:color="auto" w:fill="F5F7F8"/>
          <w:lang w:val="es-ES"/>
        </w:rPr>
        <w:t>Estos objetivos son formulados por la organización de las naciones unidas ONU,</w:t>
      </w:r>
      <w:r w:rsidRPr="007F7998">
        <w:rPr>
          <w:rFonts w:ascii="Arial" w:hAnsi="Arial" w:cs="Arial"/>
          <w:color w:val="333333"/>
          <w:sz w:val="25"/>
          <w:szCs w:val="25"/>
          <w:shd w:val="clear" w:color="auto" w:fill="F5F7F8"/>
          <w:lang w:val="es-ES"/>
        </w:rPr>
        <w:t xml:space="preserve"> siendo un llamado universal a las naciones para poner fin a la pobreza, proteger el planeta y garantizar que todas las personas gocen de paz y prosperidad. Según la </w:t>
      </w:r>
      <w:proofErr w:type="gramStart"/>
      <w:r w:rsidRPr="007F7998">
        <w:rPr>
          <w:rFonts w:ascii="Arial" w:hAnsi="Arial" w:cs="Arial"/>
          <w:color w:val="333333"/>
          <w:sz w:val="25"/>
          <w:szCs w:val="25"/>
          <w:shd w:val="clear" w:color="auto" w:fill="F5F7F8"/>
          <w:lang w:val="es-ES"/>
        </w:rPr>
        <w:t>PNUD  “</w:t>
      </w:r>
      <w:proofErr w:type="gramEnd"/>
      <w:r w:rsidRPr="007F7998">
        <w:rPr>
          <w:rFonts w:ascii="Arial" w:hAnsi="Arial" w:cs="Arial"/>
          <w:color w:val="333333"/>
          <w:sz w:val="25"/>
          <w:szCs w:val="25"/>
          <w:shd w:val="clear" w:color="auto" w:fill="F5F7F8"/>
          <w:lang w:val="es-ES"/>
        </w:rPr>
        <w:t>Estos 17 Objetivos se basan en los logros de los Objetivos de Desarrollo del Milenio, aunque incluyen nuevas esferas como el cambio climático, la desigualdad económica, la innovación, el consumo sostenible y la paz y la justicia, entre otras prioridades. Los Objetivos están interrelacionados, con frecuencia la clave del éxito de uno involucrará las cuestiones más frecuentemente vinculadas con otro objetivo”</w:t>
      </w:r>
    </w:p>
    <w:p w:rsidR="007F7998" w:rsidRPr="007F7998" w:rsidRDefault="007F7998" w:rsidP="007F7998">
      <w:pPr>
        <w:pStyle w:val="Prrafodelista"/>
        <w:numPr>
          <w:ilvl w:val="0"/>
          <w:numId w:val="3"/>
        </w:numPr>
        <w:rPr>
          <w:lang w:val="es-ES"/>
        </w:rPr>
      </w:pPr>
      <w:bookmarkStart w:id="0" w:name="_GoBack"/>
      <w:r w:rsidRPr="007F7998">
        <w:rPr>
          <w:rFonts w:ascii="Arial" w:hAnsi="Arial" w:cs="Arial"/>
          <w:color w:val="333333"/>
          <w:sz w:val="25"/>
          <w:szCs w:val="25"/>
          <w:shd w:val="clear" w:color="auto" w:fill="F5F7F8"/>
          <w:lang w:val="es-ES"/>
        </w:rPr>
        <w:t>FIN DE LA POBREZA</w:t>
      </w:r>
    </w:p>
    <w:p w:rsidR="007F7998" w:rsidRPr="007F7998" w:rsidRDefault="007F7998" w:rsidP="007F7998">
      <w:pPr>
        <w:pStyle w:val="Prrafodelista"/>
        <w:numPr>
          <w:ilvl w:val="0"/>
          <w:numId w:val="3"/>
        </w:numPr>
        <w:rPr>
          <w:lang w:val="es-ES"/>
        </w:rPr>
      </w:pPr>
      <w:r>
        <w:rPr>
          <w:rFonts w:ascii="Arial" w:hAnsi="Arial" w:cs="Arial"/>
          <w:color w:val="333333"/>
          <w:sz w:val="25"/>
          <w:szCs w:val="25"/>
          <w:shd w:val="clear" w:color="auto" w:fill="F5F7F8"/>
          <w:lang w:val="es-ES"/>
        </w:rPr>
        <w:t>HAMBRE CERO E</w:t>
      </w:r>
      <w:r w:rsidRPr="007F7998">
        <w:rPr>
          <w:rFonts w:ascii="Arial" w:hAnsi="Arial" w:cs="Arial"/>
          <w:color w:val="333333"/>
          <w:sz w:val="25"/>
          <w:szCs w:val="25"/>
          <w:shd w:val="clear" w:color="auto" w:fill="F5F7F8"/>
          <w:lang w:val="es-ES"/>
        </w:rPr>
        <w:t>l sector alimentario y el sector agrícola ofrecen soluciones claves para el desarrollo y son vitales para la eliminación del hambre y la pobreza</w:t>
      </w:r>
    </w:p>
    <w:p w:rsidR="007F7998" w:rsidRPr="00477AB8" w:rsidRDefault="007F7998" w:rsidP="00477AB8">
      <w:pPr>
        <w:pStyle w:val="Prrafodelista"/>
        <w:numPr>
          <w:ilvl w:val="0"/>
          <w:numId w:val="3"/>
        </w:numPr>
        <w:rPr>
          <w:lang w:val="es-ES"/>
        </w:rPr>
      </w:pPr>
      <w:r>
        <w:rPr>
          <w:rFonts w:ascii="Arial" w:hAnsi="Arial" w:cs="Arial"/>
          <w:color w:val="333333"/>
          <w:sz w:val="25"/>
          <w:szCs w:val="25"/>
          <w:shd w:val="clear" w:color="auto" w:fill="F5F7F8"/>
          <w:lang w:val="es-ES"/>
        </w:rPr>
        <w:lastRenderedPageBreak/>
        <w:t xml:space="preserve">SALUD BIENESTAR </w:t>
      </w:r>
      <w:r w:rsidRPr="007F7998">
        <w:rPr>
          <w:rFonts w:ascii="Arial" w:hAnsi="Arial" w:cs="Arial"/>
          <w:color w:val="333333"/>
          <w:sz w:val="25"/>
          <w:szCs w:val="25"/>
          <w:shd w:val="clear" w:color="auto" w:fill="F5F7F8"/>
          <w:lang w:val="es-ES"/>
        </w:rPr>
        <w:t>Para lograr los Objetivos de Desarrollo Sostenible es fundamental garantizar una vida saludable y promover el bienestar universal.</w:t>
      </w:r>
      <w:r>
        <w:rPr>
          <w:rFonts w:ascii="Arial" w:hAnsi="Arial" w:cs="Arial"/>
          <w:color w:val="333333"/>
          <w:sz w:val="25"/>
          <w:szCs w:val="25"/>
          <w:shd w:val="clear" w:color="auto" w:fill="F5F7F8"/>
          <w:lang w:val="es-ES"/>
        </w:rPr>
        <w:t xml:space="preserve"> Menos mortalidad infantil</w:t>
      </w:r>
    </w:p>
    <w:p w:rsidR="00477AB8" w:rsidRPr="006E031F" w:rsidRDefault="00477AB8" w:rsidP="006E031F">
      <w:pPr>
        <w:pStyle w:val="Prrafodelista"/>
        <w:numPr>
          <w:ilvl w:val="0"/>
          <w:numId w:val="3"/>
        </w:numPr>
        <w:rPr>
          <w:lang w:val="es-ES"/>
        </w:rPr>
      </w:pPr>
      <w:r>
        <w:rPr>
          <w:rFonts w:ascii="Arial" w:hAnsi="Arial" w:cs="Arial"/>
          <w:color w:val="333333"/>
          <w:sz w:val="25"/>
          <w:szCs w:val="25"/>
          <w:shd w:val="clear" w:color="auto" w:fill="F5F7F8"/>
          <w:lang w:val="es-ES"/>
        </w:rPr>
        <w:t xml:space="preserve">EDUCACION DE CALIDAD </w:t>
      </w:r>
      <w:r w:rsidRPr="00477AB8">
        <w:rPr>
          <w:rFonts w:ascii="Arial" w:hAnsi="Arial" w:cs="Arial"/>
          <w:color w:val="333333"/>
          <w:sz w:val="25"/>
          <w:szCs w:val="25"/>
          <w:shd w:val="clear" w:color="auto" w:fill="F5F7F8"/>
          <w:lang w:val="es-ES"/>
        </w:rPr>
        <w:t>En la actualidad, más de 265 millones de niños y niñas no están escolarizados y el 22% de estos están en edad de asistir a la escuela primaria</w:t>
      </w:r>
    </w:p>
    <w:p w:rsidR="006E031F" w:rsidRPr="006E031F" w:rsidRDefault="006E031F" w:rsidP="006E031F">
      <w:pPr>
        <w:pStyle w:val="Prrafodelista"/>
        <w:numPr>
          <w:ilvl w:val="0"/>
          <w:numId w:val="3"/>
        </w:numPr>
        <w:rPr>
          <w:lang w:val="es-ES"/>
        </w:rPr>
      </w:pPr>
      <w:r>
        <w:rPr>
          <w:rFonts w:ascii="Arial" w:hAnsi="Arial" w:cs="Arial"/>
          <w:color w:val="333333"/>
          <w:sz w:val="25"/>
          <w:szCs w:val="25"/>
          <w:shd w:val="clear" w:color="auto" w:fill="F5F7F8"/>
          <w:lang w:val="es-ES"/>
        </w:rPr>
        <w:t xml:space="preserve">IGUALDAD DE GÉNERO </w:t>
      </w:r>
      <w:r w:rsidRPr="006E031F">
        <w:rPr>
          <w:rFonts w:ascii="Arial" w:hAnsi="Arial" w:cs="Arial"/>
          <w:color w:val="333333"/>
          <w:sz w:val="25"/>
          <w:szCs w:val="25"/>
          <w:shd w:val="clear" w:color="auto" w:fill="F5F7F8"/>
          <w:lang w:val="es-ES"/>
        </w:rPr>
        <w:t>La igualdad entre los géneros no es solo un derecho humano fundamental, sino la base necesaria para conseguir un mundo pacífico, próspero y sostenible</w:t>
      </w:r>
    </w:p>
    <w:p w:rsidR="006E031F" w:rsidRPr="006E031F" w:rsidRDefault="006E031F" w:rsidP="006E031F">
      <w:pPr>
        <w:pStyle w:val="Prrafodelista"/>
        <w:numPr>
          <w:ilvl w:val="0"/>
          <w:numId w:val="3"/>
        </w:numPr>
        <w:rPr>
          <w:lang w:val="es-ES"/>
        </w:rPr>
      </w:pPr>
      <w:r>
        <w:rPr>
          <w:rFonts w:ascii="Arial" w:hAnsi="Arial" w:cs="Arial"/>
          <w:color w:val="333333"/>
          <w:sz w:val="25"/>
          <w:szCs w:val="25"/>
          <w:shd w:val="clear" w:color="auto" w:fill="F5F7F8"/>
          <w:lang w:val="es-ES"/>
        </w:rPr>
        <w:t xml:space="preserve">AGUA LIMPIA Y SANEAMIENTO </w:t>
      </w:r>
    </w:p>
    <w:p w:rsidR="006E031F" w:rsidRPr="006E031F" w:rsidRDefault="006E031F" w:rsidP="006E031F">
      <w:pPr>
        <w:pStyle w:val="Prrafodelista"/>
        <w:numPr>
          <w:ilvl w:val="0"/>
          <w:numId w:val="3"/>
        </w:numPr>
        <w:rPr>
          <w:lang w:val="es-ES"/>
        </w:rPr>
      </w:pPr>
      <w:r>
        <w:rPr>
          <w:rFonts w:ascii="Arial" w:hAnsi="Arial" w:cs="Arial"/>
          <w:color w:val="333333"/>
          <w:sz w:val="25"/>
          <w:szCs w:val="25"/>
          <w:shd w:val="clear" w:color="auto" w:fill="F5F7F8"/>
          <w:lang w:val="es-ES"/>
        </w:rPr>
        <w:t xml:space="preserve">ENERGÍA ASEQUIBLE Y NO CONTAMINANTE </w:t>
      </w:r>
    </w:p>
    <w:p w:rsidR="006E031F" w:rsidRPr="006E031F" w:rsidRDefault="006E031F" w:rsidP="006E031F">
      <w:pPr>
        <w:pStyle w:val="Prrafodelista"/>
        <w:numPr>
          <w:ilvl w:val="0"/>
          <w:numId w:val="3"/>
        </w:numPr>
        <w:rPr>
          <w:lang w:val="es-ES"/>
        </w:rPr>
      </w:pPr>
      <w:r>
        <w:rPr>
          <w:rFonts w:ascii="Arial" w:hAnsi="Arial" w:cs="Arial"/>
          <w:color w:val="333333"/>
          <w:sz w:val="25"/>
          <w:szCs w:val="25"/>
          <w:shd w:val="clear" w:color="auto" w:fill="F5F7F8"/>
          <w:lang w:val="es-ES"/>
        </w:rPr>
        <w:t xml:space="preserve">TRABAJO DECENTE Y CRECIMIENTO ECONÓMICO </w:t>
      </w:r>
    </w:p>
    <w:p w:rsidR="006E031F" w:rsidRPr="006E031F" w:rsidRDefault="006E031F" w:rsidP="006E031F">
      <w:pPr>
        <w:pStyle w:val="Prrafodelista"/>
        <w:numPr>
          <w:ilvl w:val="0"/>
          <w:numId w:val="3"/>
        </w:numPr>
        <w:rPr>
          <w:lang w:val="es-ES"/>
        </w:rPr>
      </w:pPr>
      <w:r>
        <w:rPr>
          <w:rFonts w:ascii="Arial" w:hAnsi="Arial" w:cs="Arial"/>
          <w:color w:val="333333"/>
          <w:sz w:val="25"/>
          <w:szCs w:val="25"/>
          <w:shd w:val="clear" w:color="auto" w:fill="F5F7F8"/>
          <w:lang w:val="es-ES"/>
        </w:rPr>
        <w:t xml:space="preserve">REDUCCIÓN DE LAS DESIGUALDADES </w:t>
      </w:r>
    </w:p>
    <w:p w:rsidR="006E031F" w:rsidRPr="00730D93" w:rsidRDefault="006E031F" w:rsidP="00730D93">
      <w:pPr>
        <w:pStyle w:val="Prrafodelista"/>
        <w:numPr>
          <w:ilvl w:val="0"/>
          <w:numId w:val="3"/>
        </w:numPr>
        <w:rPr>
          <w:lang w:val="es-ES"/>
        </w:rPr>
      </w:pPr>
      <w:r>
        <w:rPr>
          <w:rFonts w:ascii="Arial" w:hAnsi="Arial" w:cs="Arial"/>
          <w:color w:val="333333"/>
          <w:sz w:val="25"/>
          <w:szCs w:val="25"/>
          <w:shd w:val="clear" w:color="auto" w:fill="F5F7F8"/>
          <w:lang w:val="es-ES"/>
        </w:rPr>
        <w:t>CIUDADES Y COMUNIDADES SOTENIBLES</w:t>
      </w:r>
      <w:r w:rsidR="00730D93">
        <w:rPr>
          <w:rFonts w:ascii="Arial" w:hAnsi="Arial" w:cs="Arial"/>
          <w:color w:val="333333"/>
          <w:sz w:val="25"/>
          <w:szCs w:val="25"/>
          <w:shd w:val="clear" w:color="auto" w:fill="F5F7F8"/>
          <w:lang w:val="es-ES"/>
        </w:rPr>
        <w:t xml:space="preserve"> </w:t>
      </w:r>
      <w:r w:rsidR="00730D93" w:rsidRPr="00730D93">
        <w:rPr>
          <w:rFonts w:ascii="Arial" w:hAnsi="Arial" w:cs="Arial"/>
          <w:color w:val="333333"/>
          <w:sz w:val="25"/>
          <w:szCs w:val="25"/>
          <w:shd w:val="clear" w:color="auto" w:fill="F5F7F8"/>
          <w:lang w:val="es-ES"/>
        </w:rPr>
        <w:t>asegurar el acceso de todas las personas a viviendas y servicios básicos adecuados, seguros y asequibles y mejorar los barrios marginales</w:t>
      </w:r>
    </w:p>
    <w:p w:rsidR="00730D93" w:rsidRPr="00730D93" w:rsidRDefault="00730D93" w:rsidP="00730D93">
      <w:pPr>
        <w:pStyle w:val="Prrafodelista"/>
        <w:numPr>
          <w:ilvl w:val="0"/>
          <w:numId w:val="3"/>
        </w:numPr>
        <w:rPr>
          <w:lang w:val="es-ES"/>
        </w:rPr>
      </w:pPr>
      <w:r>
        <w:rPr>
          <w:rFonts w:ascii="Arial" w:hAnsi="Arial" w:cs="Arial"/>
          <w:color w:val="333333"/>
          <w:sz w:val="25"/>
          <w:szCs w:val="25"/>
          <w:shd w:val="clear" w:color="auto" w:fill="F5F7F8"/>
          <w:lang w:val="es-ES"/>
        </w:rPr>
        <w:t xml:space="preserve">PRODUCCIÓN Y CONSUMO SOSTENIBLES </w:t>
      </w:r>
      <w:r w:rsidRPr="00730D93">
        <w:rPr>
          <w:rFonts w:ascii="Arial" w:hAnsi="Arial" w:cs="Arial"/>
          <w:color w:val="333333"/>
          <w:sz w:val="25"/>
          <w:szCs w:val="25"/>
          <w:shd w:val="clear" w:color="auto" w:fill="F5F7F8"/>
          <w:lang w:val="es-ES"/>
        </w:rPr>
        <w:t>El consumo y la producción sostenible consisten en fomentar el uso eficiente de los recursos y la energía, la construcción de infraestructuras que no dañen el medio ambiente, la mejora del acceso a los servicios básicos y la creación de empleos ecológicos, justamente remunerados y con buenas condiciones laborales. </w:t>
      </w:r>
    </w:p>
    <w:p w:rsidR="00730D93" w:rsidRPr="00730D93" w:rsidRDefault="00730D93" w:rsidP="00730D93">
      <w:pPr>
        <w:pStyle w:val="Prrafodelista"/>
        <w:numPr>
          <w:ilvl w:val="0"/>
          <w:numId w:val="3"/>
        </w:numPr>
        <w:rPr>
          <w:lang w:val="es-ES"/>
        </w:rPr>
      </w:pPr>
      <w:r>
        <w:rPr>
          <w:rFonts w:ascii="Arial" w:hAnsi="Arial" w:cs="Arial"/>
          <w:color w:val="333333"/>
          <w:sz w:val="25"/>
          <w:szCs w:val="25"/>
          <w:shd w:val="clear" w:color="auto" w:fill="F5F7F8"/>
          <w:lang w:val="es-ES"/>
        </w:rPr>
        <w:t xml:space="preserve">ACCIÓN POR EL CLIMA </w:t>
      </w:r>
    </w:p>
    <w:p w:rsidR="00730D93" w:rsidRPr="00730D93" w:rsidRDefault="00730D93" w:rsidP="00730D93">
      <w:pPr>
        <w:pStyle w:val="Prrafodelista"/>
        <w:numPr>
          <w:ilvl w:val="0"/>
          <w:numId w:val="3"/>
        </w:numPr>
        <w:rPr>
          <w:lang w:val="es-ES"/>
        </w:rPr>
      </w:pPr>
      <w:r>
        <w:rPr>
          <w:rFonts w:ascii="Arial" w:hAnsi="Arial" w:cs="Arial"/>
          <w:color w:val="333333"/>
          <w:sz w:val="25"/>
          <w:szCs w:val="25"/>
          <w:shd w:val="clear" w:color="auto" w:fill="F5F7F8"/>
          <w:lang w:val="es-ES"/>
        </w:rPr>
        <w:t xml:space="preserve">VIDA SUBMARINA </w:t>
      </w:r>
    </w:p>
    <w:p w:rsidR="00730D93" w:rsidRPr="00730D93" w:rsidRDefault="00730D93" w:rsidP="00730D93">
      <w:pPr>
        <w:pStyle w:val="Prrafodelista"/>
        <w:numPr>
          <w:ilvl w:val="0"/>
          <w:numId w:val="3"/>
        </w:numPr>
        <w:rPr>
          <w:lang w:val="es-ES"/>
        </w:rPr>
      </w:pPr>
      <w:r>
        <w:rPr>
          <w:rFonts w:ascii="Arial" w:hAnsi="Arial" w:cs="Arial"/>
          <w:color w:val="333333"/>
          <w:sz w:val="25"/>
          <w:szCs w:val="25"/>
          <w:shd w:val="clear" w:color="auto" w:fill="F5F7F8"/>
          <w:lang w:val="es-ES"/>
        </w:rPr>
        <w:t xml:space="preserve">VIDA DE ECOSISTEMAS TERRESTRES </w:t>
      </w:r>
    </w:p>
    <w:p w:rsidR="00730D93" w:rsidRPr="00730D93" w:rsidRDefault="00730D93" w:rsidP="00730D93">
      <w:pPr>
        <w:pStyle w:val="Prrafodelista"/>
        <w:numPr>
          <w:ilvl w:val="0"/>
          <w:numId w:val="3"/>
        </w:numPr>
        <w:rPr>
          <w:lang w:val="es-ES"/>
        </w:rPr>
      </w:pPr>
      <w:r>
        <w:rPr>
          <w:rFonts w:ascii="Arial" w:hAnsi="Arial" w:cs="Arial"/>
          <w:color w:val="333333"/>
          <w:sz w:val="25"/>
          <w:szCs w:val="25"/>
          <w:shd w:val="clear" w:color="auto" w:fill="F5F7F8"/>
          <w:lang w:val="es-ES"/>
        </w:rPr>
        <w:t>PAZ JUSTICCIA E INSTITUCIONES SOLIDAS</w:t>
      </w:r>
    </w:p>
    <w:p w:rsidR="00730D93" w:rsidRPr="00730D93" w:rsidRDefault="00730D93" w:rsidP="00730D93">
      <w:pPr>
        <w:pStyle w:val="Prrafodelista"/>
        <w:numPr>
          <w:ilvl w:val="0"/>
          <w:numId w:val="3"/>
        </w:numPr>
        <w:rPr>
          <w:lang w:val="es-ES"/>
        </w:rPr>
      </w:pPr>
      <w:r>
        <w:rPr>
          <w:rFonts w:ascii="Arial" w:hAnsi="Arial" w:cs="Arial"/>
          <w:color w:val="333333"/>
          <w:sz w:val="25"/>
          <w:szCs w:val="25"/>
          <w:shd w:val="clear" w:color="auto" w:fill="F5F7F8"/>
          <w:lang w:val="es-ES"/>
        </w:rPr>
        <w:t xml:space="preserve">ALIANZAS PARA LOGRAR LOS OBJETIVOS </w:t>
      </w:r>
    </w:p>
    <w:p w:rsidR="00730D93" w:rsidRPr="00730D93" w:rsidRDefault="006B3BED" w:rsidP="00730D93">
      <w:pPr>
        <w:pStyle w:val="Prrafodelista"/>
        <w:numPr>
          <w:ilvl w:val="0"/>
          <w:numId w:val="3"/>
        </w:numPr>
        <w:rPr>
          <w:lang w:val="es-ES"/>
        </w:rPr>
      </w:pPr>
      <w:r>
        <w:rPr>
          <w:lang w:val="es-ES"/>
        </w:rPr>
        <w:t xml:space="preserve"> Vida de ecosistemas terrestres</w:t>
      </w:r>
      <w:bookmarkEnd w:id="0"/>
    </w:p>
    <w:sectPr w:rsidR="00730D93" w:rsidRPr="00730D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D47A7"/>
    <w:multiLevelType w:val="hybridMultilevel"/>
    <w:tmpl w:val="C06473C2"/>
    <w:lvl w:ilvl="0" w:tplc="09BCDC58">
      <w:start w:val="1"/>
      <w:numFmt w:val="decimal"/>
      <w:lvlText w:val="%1."/>
      <w:lvlJc w:val="left"/>
      <w:pPr>
        <w:ind w:left="1080" w:hanging="360"/>
      </w:pPr>
      <w:rPr>
        <w:rFonts w:ascii="Arial" w:hAnsi="Arial" w:cs="Arial" w:hint="default"/>
        <w:color w:val="333333"/>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B40D0D"/>
    <w:multiLevelType w:val="hybridMultilevel"/>
    <w:tmpl w:val="497A31DA"/>
    <w:lvl w:ilvl="0" w:tplc="0E588DB8">
      <w:start w:val="1"/>
      <w:numFmt w:val="decimal"/>
      <w:lvlText w:val="%1."/>
      <w:lvlJc w:val="left"/>
      <w:pPr>
        <w:ind w:left="720" w:hanging="360"/>
      </w:pPr>
      <w:rPr>
        <w:rFonts w:ascii="Arial" w:hAnsi="Arial" w:cs="Arial" w:hint="default"/>
        <w:color w:val="333333"/>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06AEE"/>
    <w:multiLevelType w:val="hybridMultilevel"/>
    <w:tmpl w:val="DF4E35D4"/>
    <w:lvl w:ilvl="0" w:tplc="3FB2239E">
      <w:start w:val="1"/>
      <w:numFmt w:val="decimal"/>
      <w:lvlText w:val="%1."/>
      <w:lvlJc w:val="left"/>
      <w:pPr>
        <w:ind w:left="720" w:hanging="360"/>
      </w:pPr>
      <w:rPr>
        <w:rFonts w:ascii="Arial" w:hAnsi="Arial" w:cs="Arial" w:hint="default"/>
        <w:color w:val="333333"/>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A7"/>
    <w:rsid w:val="003A77CB"/>
    <w:rsid w:val="003F2CB5"/>
    <w:rsid w:val="00477AB8"/>
    <w:rsid w:val="006B3BED"/>
    <w:rsid w:val="006E031F"/>
    <w:rsid w:val="006F7A77"/>
    <w:rsid w:val="00730D93"/>
    <w:rsid w:val="007D4AA7"/>
    <w:rsid w:val="007F7998"/>
    <w:rsid w:val="008A68E1"/>
    <w:rsid w:val="00A777D4"/>
    <w:rsid w:val="00B97BDD"/>
    <w:rsid w:val="00D828FC"/>
    <w:rsid w:val="00F636E2"/>
    <w:rsid w:val="00FB2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69F5"/>
  <w15:chartTrackingRefBased/>
  <w15:docId w15:val="{33D1F1D0-D6F7-41F2-A66D-C78E37BB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777D4"/>
    <w:rPr>
      <w:color w:val="0563C1" w:themeColor="hyperlink"/>
      <w:u w:val="single"/>
    </w:rPr>
  </w:style>
  <w:style w:type="character" w:styleId="Textoennegrita">
    <w:name w:val="Strong"/>
    <w:basedOn w:val="Fuentedeprrafopredeter"/>
    <w:uiPriority w:val="22"/>
    <w:qFormat/>
    <w:rsid w:val="007F7998"/>
    <w:rPr>
      <w:b/>
      <w:bCs/>
    </w:rPr>
  </w:style>
  <w:style w:type="paragraph" w:styleId="Prrafodelista">
    <w:name w:val="List Paragraph"/>
    <w:basedOn w:val="Normal"/>
    <w:uiPriority w:val="34"/>
    <w:qFormat/>
    <w:rsid w:val="007F7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pository.unad.edu.co/handle/10596/1257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Pages>
  <Words>594</Words>
  <Characters>3389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7</cp:revision>
  <dcterms:created xsi:type="dcterms:W3CDTF">2021-08-25T16:21:00Z</dcterms:created>
  <dcterms:modified xsi:type="dcterms:W3CDTF">2021-09-06T21:54:00Z</dcterms:modified>
</cp:coreProperties>
</file>