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oter+xml" PartName="/word/footer6.xml"/>
  <Override ContentType="application/vnd.openxmlformats-officedocument.wordprocessingml.footer+xml" PartName="/word/footer7.xml"/>
  <Override ContentType="application/vnd.openxmlformats-officedocument.wordprocessingml.footer+xml" PartName="/word/footer5.xml"/>
  <Override ContentType="application/vnd.openxmlformats-officedocument.wordprocessingml.footer+xml" PartName="/word/footer8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8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  <Override ContentType="application/vnd.openxmlformats-officedocument.wordprocessingml.header+xml" PartName="/word/header7.xml"/>
  <Override ContentType="application/vnd.openxmlformats-officedocument.wordprocessingml.header+xml" PartName="/word/header6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40" w:w="11907" w:orient="portrait"/>
          <w:pgMar w:bottom="1418" w:top="1985" w:left="1701" w:right="1701" w:header="720" w:footer="720"/>
          <w:pgNumType w:start="1"/>
        </w:sectPr>
      </w:pPr>
      <w:bookmarkStart w:colFirst="0" w:colLast="0" w:name="_f89xpab8uuqf" w:id="0"/>
      <w:bookmarkEnd w:id="0"/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Resumo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left" w:leader="none" w:pos="720"/>
        </w:tabs>
        <w:spacing w:before="240" w:lineRule="auto"/>
        <w:ind w:firstLine="397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Resumo Expandido CRIATHON</w:t>
      </w:r>
    </w:p>
    <w:p w:rsidR="00000000" w:rsidDel="00000000" w:rsidP="00000000" w:rsidRDefault="00000000" w:rsidRPr="00000000" w14:paraId="00000003">
      <w:pPr>
        <w:tabs>
          <w:tab w:val="left" w:leader="none" w:pos="720"/>
        </w:tabs>
        <w:spacing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 Clara Atanazio Ogata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1</w:t>
      </w:r>
      <w:r w:rsidDel="00000000" w:rsidR="00000000" w:rsidRPr="00000000">
        <w:rPr>
          <w:b w:val="1"/>
          <w:bCs w:val="1"/>
          <w:rtl w:val="0"/>
        </w:rPr>
        <w:t xml:space="preserve">, Graziele de Brito Sales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leader="none" w:pos="720"/>
        </w:tabs>
        <w:spacing w:before="240" w:lineRule="auto"/>
        <w:jc w:val="center"/>
        <w:rPr/>
      </w:pPr>
      <w:r w:rsidDel="00000000" w:rsidR="00000000" w:rsidRPr="00000000">
        <w:rPr>
          <w:vertAlign w:val="super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Instituto de Ciência e Tecnologia – Universidade Federal de São Paulo (UNIFESP)</w:t>
        <w:br w:type="textWrapping"/>
        <w:t xml:space="preserve">Caixa Postal 12247-014  – São José dos Campos – SP – Brasil</w:t>
      </w:r>
    </w:p>
    <w:p w:rsidR="00000000" w:rsidDel="00000000" w:rsidP="00000000" w:rsidRDefault="00000000" w:rsidRPr="00000000" w14:paraId="00000005">
      <w:pPr>
        <w:tabs>
          <w:tab w:val="left" w:leader="none" w:pos="720"/>
        </w:tabs>
        <w:spacing w:after="120" w:lineRule="auto"/>
        <w:jc w:val="center"/>
        <w:rPr>
          <w:rFonts w:ascii="Courier New" w:cs="Courier New" w:eastAsia="Courier New" w:hAnsi="Courier New"/>
          <w:sz w:val="20"/>
          <w:szCs w:val="20"/>
        </w:rPr>
        <w:sectPr>
          <w:headerReference r:id="rId6" w:type="default"/>
          <w:headerReference r:id="rId7" w:type="even"/>
          <w:footerReference r:id="rId8" w:type="first"/>
          <w:footerReference r:id="rId9" w:type="even"/>
          <w:type w:val="nextPage"/>
          <w:pgSz w:h="16840" w:w="11907" w:orient="portrait"/>
          <w:pgMar w:bottom="1418" w:top="1985" w:left="1701" w:right="1701" w:header="964" w:footer="964"/>
          <w:pgNumType w:start="101"/>
        </w:sect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ana.ogata16@unifesp.br, graziele.sales@unifesp.br</w:t>
      </w:r>
    </w:p>
    <w:p w:rsidR="00000000" w:rsidDel="00000000" w:rsidP="00000000" w:rsidRDefault="00000000" w:rsidRPr="00000000" w14:paraId="00000006">
      <w:pPr>
        <w:tabs>
          <w:tab w:val="left" w:leader="none" w:pos="720"/>
        </w:tabs>
        <w:spacing w:after="120" w:lineRule="auto"/>
        <w:ind w:right="454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720"/>
        </w:tabs>
        <w:spacing w:after="120" w:lineRule="auto"/>
        <w:ind w:left="454" w:right="454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Resumo.</w:t>
      </w:r>
      <w:r w:rsidDel="00000000" w:rsidR="00000000" w:rsidRPr="00000000">
        <w:rPr>
          <w:i w:val="1"/>
          <w:iCs w:val="1"/>
          <w:rtl w:val="0"/>
        </w:rPr>
        <w:t xml:space="preserve"> Este relatório apresenta o UNOcore, um protótipo de jogo educativo inspirado no UNO tradicional, voltado para o ensino de Arquitetura e Organização de Computadores (AOC). Com 118 cartas, o jogo utiliza uma abordagem lúdica para ensinar conceitos de memória, armazenamento e periféricos de entrada e saída, tornando o aprendizado mais dinâmico e colaborativo ao aproximar teoria e prática de forma divertida.</w:t>
      </w:r>
    </w:p>
    <w:p w:rsidR="00000000" w:rsidDel="00000000" w:rsidP="00000000" w:rsidRDefault="00000000" w:rsidRPr="00000000" w14:paraId="00000008">
      <w:pPr>
        <w:tabs>
          <w:tab w:val="left" w:leader="none" w:pos="720"/>
        </w:tabs>
        <w:spacing w:after="120" w:lineRule="auto"/>
        <w:ind w:left="454" w:right="454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Introdução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720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O ensino de Arquitetura e Organização de Computadores (AOC) enfrenta desafios devido à complexidade de conteúdos técnicos e abstratos, como hierarquia de memória, deadlocks e interrupções, que tornam o aprendizado teórico pouco intuitivo e desmotivador. </w:t>
      </w:r>
    </w:p>
    <w:p w:rsidR="00000000" w:rsidDel="00000000" w:rsidP="00000000" w:rsidRDefault="00000000" w:rsidRPr="00000000" w14:paraId="0000000A">
      <w:pPr>
        <w:tabs>
          <w:tab w:val="left" w:leader="none" w:pos="720"/>
        </w:tabs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Diante desse cenário, o nosso grupo propõe o desenvolvimento do UNOcore, um protótipo de jogo educativo baseado no UNO tradicional. O jogo adapta suas mecânicas para ensinar conceitos de hardware, estimulando raciocínio lógico, colaboração e aprendizado ativo, tornando a compreensão da arquitetura computacional mais envolvente e acessível.</w:t>
      </w:r>
    </w:p>
    <w:p w:rsidR="00000000" w:rsidDel="00000000" w:rsidP="00000000" w:rsidRDefault="00000000" w:rsidRPr="00000000" w14:paraId="0000000B">
      <w:pPr>
        <w:tabs>
          <w:tab w:val="left" w:leader="none" w:pos="720"/>
        </w:tabs>
        <w:rPr/>
      </w:pPr>
      <w:r w:rsidDel="00000000" w:rsidR="00000000" w:rsidRPr="00000000">
        <w:rPr>
          <w:rtl w:val="0"/>
        </w:rPr>
        <w:tab/>
        <w:t xml:space="preserve">Dessa forma, inspirado no tradicional e amplamente conhecido jogo UNO, o UNOcore aproveita sua dinâmica simples, acessível e social para aproximar os estudantes dos fundamentos da arquitetura computacional. O UNO por ser reconhecido por sua capacidade de reunir pessoas, gerar competitividade saudável e estimular o pensamento estratégico — características foram determinantes para a nossa escolha. </w:t>
      </w:r>
    </w:p>
    <w:p w:rsidR="00000000" w:rsidDel="00000000" w:rsidP="00000000" w:rsidRDefault="00000000" w:rsidRPr="00000000" w14:paraId="0000000C">
      <w:pPr>
        <w:tabs>
          <w:tab w:val="left" w:leader="none" w:pos="720"/>
        </w:tabs>
        <w:rPr/>
      </w:pPr>
      <w:r w:rsidDel="00000000" w:rsidR="00000000" w:rsidRPr="00000000">
        <w:rPr>
          <w:rtl w:val="0"/>
        </w:rPr>
        <w:tab/>
        <w:t xml:space="preserve">A organização desse resumo segue uma estrutura lógica, distribuída em cinco seções principais. O texto inicia com a Introdução, que contextualiza o problema do ensino de AOC e apresenta o jogo como solução lúdica e educativa. Em seguida, a Fundamentação Teórica discute os conceitos técnicos da disciplina — como memória, armazenamento e E/S — e relaciona-os à proposta pedagógica do jogo. A seção de Materiais e Métodos detalha o processo de desenvolvimento do protótipo, desde o planejamento até os testes com usuários, descrevendo também os materiais utilizados. Na sequência, os Resultados Esperados indicam os benefícios pedagógicos do UNOcore, destacando o aprendizado ativo e a compreensão prática de conceitos abstratos. Por fim, a Conclusão retoma os principais pontos do trabalho, reforçando o caráter inovador da proposta e sugerindo possibilidades de continuidade, como a criação de uma versão digital.</w:t>
      </w:r>
    </w:p>
    <w:p w:rsidR="00000000" w:rsidDel="00000000" w:rsidP="00000000" w:rsidRDefault="00000000" w:rsidRPr="00000000" w14:paraId="0000000D">
      <w:pPr>
        <w:tabs>
          <w:tab w:val="left" w:leader="none" w:pos="720"/>
        </w:tabs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Fundamentação teórica</w:t>
      </w:r>
    </w:p>
    <w:p w:rsidR="00000000" w:rsidDel="00000000" w:rsidP="00000000" w:rsidRDefault="00000000" w:rsidRPr="00000000" w14:paraId="0000000E">
      <w:pPr>
        <w:keepNext w:val="1"/>
        <w:tabs>
          <w:tab w:val="left" w:leader="none" w:pos="720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A disciplina de Arquitetura e Organização de Computadores (AOC) estuda os componentes físicos e lógicos de um sistema computacional, suas funções e interconexões. Segundo Stallings (2018), o desempenho de um computador depende da eficiência da comunicação entre processador, memória e dispositivos de entrada e saída (E/S). Entretanto, o ensino dessa área enfrenta desafios por envolver estruturas abstratas, como barramentos, ciclos de instrução e camadas de memória, pouco perceptíveis ao usuário.</w:t>
      </w:r>
    </w:p>
    <w:p w:rsidR="00000000" w:rsidDel="00000000" w:rsidP="00000000" w:rsidRDefault="00000000" w:rsidRPr="00000000" w14:paraId="0000000F">
      <w:pPr>
        <w:keepNext w:val="1"/>
        <w:tabs>
          <w:tab w:val="left" w:leader="none" w:pos="720"/>
        </w:tabs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Nesse contexto, o UNOcore propõe uma abordagem lúdica para o aprendizado de AOC, abordando três eixos principais — E/S, memória e armazenamento — e introduzindo conceitos complementares, como gerenciamento de processos, interrupções e deadlocks.</w:t>
      </w:r>
    </w:p>
    <w:p w:rsidR="00000000" w:rsidDel="00000000" w:rsidP="00000000" w:rsidRDefault="00000000" w:rsidRPr="00000000" w14:paraId="00000010">
      <w:pPr>
        <w:keepNext w:val="1"/>
        <w:tabs>
          <w:tab w:val="left" w:leader="none" w:pos="720"/>
        </w:tabs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No eixo de entrada e saída, o jogo representa a comunicação entre o processador e o ambiente externo por meio de periféricos como teclado, mouse e monitor. O controle de E/S é essencial para o desempenho, envolvendo técnicas de acesso direto à memória (DMA), mapeamento de interrupções e sincronização de dispositivos (STALLINGS, 2018; TANENBAUM; BOS, 2015).</w:t>
      </w:r>
    </w:p>
    <w:p w:rsidR="00000000" w:rsidDel="00000000" w:rsidP="00000000" w:rsidRDefault="00000000" w:rsidRPr="00000000" w14:paraId="00000011">
      <w:pPr>
        <w:keepNext w:val="1"/>
        <w:tabs>
          <w:tab w:val="left" w:leader="none" w:pos="720"/>
        </w:tabs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Em memória, o UNOcore incorpora os principais níveis da hierarquia: registradores, cache, RAM e memória virtual (PATTERSON; HENNESSY, 2017). Os registradores são extremamente rápidos, porém limitados; a cache armazena dados temporários para acelerar o acesso; a RAM oferece maior capacidade com custo menor; e a memória virtual amplia logicamente o espaço de endereçamento, utilizando o armazenamento secundário (SILBERSCHATZ; GALVIN; GAGNE, 2018). Essa hierarquia equilibra velocidade, custo e eficiência, sendo fundamental para o desempenho do sistema.</w:t>
      </w:r>
    </w:p>
    <w:p w:rsidR="00000000" w:rsidDel="00000000" w:rsidP="00000000" w:rsidRDefault="00000000" w:rsidRPr="00000000" w14:paraId="00000012">
      <w:pPr>
        <w:keepNext w:val="1"/>
        <w:tabs>
          <w:tab w:val="left" w:leader="none" w:pos="720"/>
        </w:tabs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O eixo de armazenamento contempla HDs, SSDs e armazenamento em nuvem. Os HDs oferecem baixo custo e alta capacidade, mas menor velocidade; os SSDs garantem maior desempenho e durabilidade a um custo superior; e a nuvem permite acesso remoto, escalabilidade e redundância (TANENBAUM, 2013; STALLINGS, 2018). Compreender essas diferenças é essencial para decisões de projeto e otimização de sistemas computacionais.</w:t>
      </w:r>
    </w:p>
    <w:p w:rsidR="00000000" w:rsidDel="00000000" w:rsidP="00000000" w:rsidRDefault="00000000" w:rsidRPr="00000000" w14:paraId="00000013">
      <w:pPr>
        <w:keepNext w:val="1"/>
        <w:tabs>
          <w:tab w:val="left" w:leader="none" w:pos="720"/>
        </w:tabs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Além desses eixos, o UNOcore aborda noções de gerenciamento de processos, interrupções e deadlocks, integrando arquitetura e sistema operacional. O gerenciamento de processos assegura o uso eficiente da CPU por meio do escalonamento e troca de contexto (TANENBAUM; BOS, 2015). As interrupções permitem respostas rápidas a eventos externos, enquanto o tratamento de deadlocks previne bloqueios que comprometem a execução do sistema (SILBERSCHATZ; GALVIN; GAGNE, 2018).</w:t>
      </w:r>
    </w:p>
    <w:p w:rsidR="00000000" w:rsidDel="00000000" w:rsidP="00000000" w:rsidRDefault="00000000" w:rsidRPr="00000000" w14:paraId="00000014">
      <w:pPr>
        <w:keepNext w:val="1"/>
        <w:tabs>
          <w:tab w:val="left" w:leader="none" w:pos="720"/>
        </w:tabs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Para contextualizar a proposta, o UNOcore baseia-se no jogo de cartas UNO, cujo objetivo é descartar todas as cartas da mão. Cada jogador começa com sete cartas, e vence quem se livra de todas primeiro. As cartas podem ser combinadas por cor, número ou símbolo, e o jogo conta com cartas especiais e curingas que alteram o fluxo da partida.</w:t>
      </w:r>
    </w:p>
    <w:p w:rsidR="00000000" w:rsidDel="00000000" w:rsidP="00000000" w:rsidRDefault="00000000" w:rsidRPr="00000000" w14:paraId="00000015">
      <w:pPr>
        <w:keepNext w:val="1"/>
        <w:tabs>
          <w:tab w:val="left" w:leader="none" w:pos="720"/>
        </w:tabs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Do ponto de vista pedagógico, a aplicação de jogos em cursos de Computação tem mostrado resultados positivos, promovendo engajamento e melhor compreensão de conceitos técnicos (SILVA; COSTA, 2021). Assim, o UNOcore se insere nas metodologias ativas de ensino, transformando conceitos abstratos de AOC em uma experiência prática e interativa. O objetivo é facilitar a aprendizagem por meio da ludicidade, estimulando o raciocínio lógico e a compreensão das relações entre hardware, software e desempenho — pilares fundamentais da formação em Computação</w:t>
      </w:r>
    </w:p>
    <w:p w:rsidR="00000000" w:rsidDel="00000000" w:rsidP="00000000" w:rsidRDefault="00000000" w:rsidRPr="00000000" w14:paraId="00000016">
      <w:pPr>
        <w:keepNext w:val="1"/>
        <w:tabs>
          <w:tab w:val="left" w:leader="none" w:pos="720"/>
        </w:tabs>
        <w:spacing w:before="240" w:lineRule="auto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 Materias e métodos</w:t>
      </w:r>
    </w:p>
    <w:p w:rsidR="00000000" w:rsidDel="00000000" w:rsidP="00000000" w:rsidRDefault="00000000" w:rsidRPr="00000000" w14:paraId="00000017">
      <w:pPr>
        <w:tabs>
          <w:tab w:val="left" w:leader="none" w:pos="720"/>
        </w:tabs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3.1. Passos de desenvolvimento</w:t>
      </w:r>
    </w:p>
    <w:p w:rsidR="00000000" w:rsidDel="00000000" w:rsidP="00000000" w:rsidRDefault="00000000" w:rsidRPr="00000000" w14:paraId="00000018">
      <w:pPr>
        <w:tabs>
          <w:tab w:val="left" w:leader="none" w:pos="720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O desenvolvimento do protótipo </w:t>
      </w:r>
      <w:r w:rsidDel="00000000" w:rsidR="00000000" w:rsidRPr="00000000">
        <w:rPr>
          <w:b w:val="1"/>
          <w:bCs w:val="1"/>
          <w:rtl w:val="0"/>
        </w:rPr>
        <w:t xml:space="preserve">UNOcore</w:t>
      </w:r>
      <w:r w:rsidDel="00000000" w:rsidR="00000000" w:rsidRPr="00000000">
        <w:rPr>
          <w:rtl w:val="0"/>
        </w:rPr>
        <w:t xml:space="preserve"> foi organizado em etapas que orientaram a construção do projeto: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tabs>
          <w:tab w:val="left" w:leader="none" w:pos="720"/>
        </w:tabs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Planejamento inicial:</w:t>
      </w:r>
      <w:r w:rsidDel="00000000" w:rsidR="00000000" w:rsidRPr="00000000">
        <w:rPr>
          <w:rtl w:val="0"/>
        </w:rPr>
        <w:t xml:space="preserve"> definição do jogo base e identificação dos conteúdos de AOC a serem representados nas cartas, além do levantamento das mecânicas principais, inspiradas no UNO tradicional.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tabs>
          <w:tab w:val="left" w:leader="none" w:pos="720"/>
        </w:tabs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Concepção:</w:t>
      </w:r>
      <w:r w:rsidDel="00000000" w:rsidR="00000000" w:rsidRPr="00000000">
        <w:rPr>
          <w:rtl w:val="0"/>
        </w:rPr>
        <w:t xml:space="preserve"> adaptação das regras do UNO para fins educacionais, determinando a quantidade, tipos e funções das cartas.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tabs>
          <w:tab w:val="left" w:leader="none" w:pos="720"/>
        </w:tabs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Design:</w:t>
      </w:r>
      <w:r w:rsidDel="00000000" w:rsidR="00000000" w:rsidRPr="00000000">
        <w:rPr>
          <w:rtl w:val="0"/>
        </w:rPr>
        <w:t xml:space="preserve"> criação da identidade visual, com definição de cores, ícones e textos explicativos, além da escolha dos materiais para o protótipo.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tabs>
          <w:tab w:val="left" w:leader="none" w:pos="720"/>
        </w:tabs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Produção:</w:t>
      </w:r>
      <w:r w:rsidDel="00000000" w:rsidR="00000000" w:rsidRPr="00000000">
        <w:rPr>
          <w:rtl w:val="0"/>
        </w:rPr>
        <w:t xml:space="preserve"> confecção física das cartas e preparação dos materiais de apoio.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tabs>
          <w:tab w:val="left" w:leader="none" w:pos="720"/>
        </w:tabs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Teste inicial:</w:t>
      </w:r>
      <w:r w:rsidDel="00000000" w:rsidR="00000000" w:rsidRPr="00000000">
        <w:rPr>
          <w:rtl w:val="0"/>
        </w:rPr>
        <w:t xml:space="preserve"> verificação da jogabilidade, clareza das regras e coerência com os conceitos teóricos.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tabs>
          <w:tab w:val="left" w:leader="none" w:pos="720"/>
        </w:tabs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Apresentação final:</w:t>
      </w:r>
      <w:r w:rsidDel="00000000" w:rsidR="00000000" w:rsidRPr="00000000">
        <w:rPr>
          <w:rtl w:val="0"/>
        </w:rPr>
        <w:t xml:space="preserve"> demonstração do protótipo concluído e discussão dos resultados obtidos.</w:t>
      </w:r>
    </w:p>
    <w:p w:rsidR="00000000" w:rsidDel="00000000" w:rsidP="00000000" w:rsidRDefault="00000000" w:rsidRPr="00000000" w14:paraId="0000001F">
      <w:pPr>
        <w:tabs>
          <w:tab w:val="left" w:leader="none" w:pos="720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A estrutura do baralho foi planejada para representar os principais elementos da arquitetura de computadores, dividindo-se em três categorias: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tabs>
          <w:tab w:val="left" w:leader="none" w:pos="720"/>
        </w:tabs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Cartas de tecnologia:</w:t>
      </w:r>
      <w:r w:rsidDel="00000000" w:rsidR="00000000" w:rsidRPr="00000000">
        <w:rPr>
          <w:rtl w:val="0"/>
        </w:rPr>
        <w:t xml:space="preserve"> abordam componentes e conceitos de hardware e software, totalizando 80 unidades (20 por cor);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tabs>
          <w:tab w:val="left" w:leader="none" w:pos="720"/>
        </w:tabs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Cartas especiais:</w:t>
      </w:r>
      <w:r w:rsidDel="00000000" w:rsidR="00000000" w:rsidRPr="00000000">
        <w:rPr>
          <w:rtl w:val="0"/>
        </w:rPr>
        <w:t xml:space="preserve"> representam funções complexas do sistema computacional, com 32 unidades (8 por cor);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tabs>
          <w:tab w:val="left" w:leader="none" w:pos="720"/>
        </w:tabs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Cartas coringas:</w:t>
      </w:r>
      <w:r w:rsidDel="00000000" w:rsidR="00000000" w:rsidRPr="00000000">
        <w:rPr>
          <w:rtl w:val="0"/>
        </w:rPr>
        <w:t xml:space="preserve"> aplicam efeitos universais, somando 6 unidades.</w:t>
      </w:r>
    </w:p>
    <w:p w:rsidR="00000000" w:rsidDel="00000000" w:rsidP="00000000" w:rsidRDefault="00000000" w:rsidRPr="00000000" w14:paraId="00000023">
      <w:pPr>
        <w:tabs>
          <w:tab w:val="left" w:leader="none" w:pos="720"/>
        </w:tabs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No total, o baralho contém </w:t>
      </w:r>
      <w:r w:rsidDel="00000000" w:rsidR="00000000" w:rsidRPr="00000000">
        <w:rPr>
          <w:b w:val="1"/>
          <w:bCs w:val="1"/>
          <w:rtl w:val="0"/>
        </w:rPr>
        <w:t xml:space="preserve">118 cartas</w:t>
      </w:r>
      <w:r w:rsidDel="00000000" w:rsidR="00000000" w:rsidRPr="00000000">
        <w:rPr>
          <w:rtl w:val="0"/>
        </w:rPr>
        <w:t xml:space="preserve">, oferecendo ampla variedade de combinações e interações entre os conceitos abordados. Ademais, para entender melhor as regras e a distribuição das cartas veja o seguinte documento em anexo onde se encontra detalhes do jogo que não couberam nesse resumo: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https://docs.google.com/document/d/10-sZo4mvaSGCfpzJGn03HScHc2tEJV15CYcoB0UQHp4/edit?tab=t.eflmwaps5rty</w:t>
        </w:r>
      </w:hyperlink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24">
      <w:pPr>
        <w:tabs>
          <w:tab w:val="left" w:leader="none" w:pos="720"/>
        </w:tabs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3.2. Materiais</w:t>
      </w:r>
    </w:p>
    <w:p w:rsidR="00000000" w:rsidDel="00000000" w:rsidP="00000000" w:rsidRDefault="00000000" w:rsidRPr="00000000" w14:paraId="00000025">
      <w:pPr>
        <w:tabs>
          <w:tab w:val="left" w:leader="none" w:pos="720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Para a produção do protótipo, serão utilizados papel A4 comum e impressora doméstica, com plastificação posterior para maior durabilidade das cartas. O design gráfico será desenvolvido na plataforma Canva Pro, permitindo melhor padronização visual e clareza nas informações.</w:t>
      </w:r>
    </w:p>
    <w:p w:rsidR="00000000" w:rsidDel="00000000" w:rsidP="00000000" w:rsidRDefault="00000000" w:rsidRPr="00000000" w14:paraId="00000026">
      <w:pPr>
        <w:tabs>
          <w:tab w:val="left" w:leader="none" w:pos="720"/>
        </w:tabs>
        <w:rPr/>
      </w:pPr>
      <w:r w:rsidDel="00000000" w:rsidR="00000000" w:rsidRPr="00000000">
        <w:rPr>
          <w:b w:val="1"/>
          <w:bCs w:val="1"/>
          <w:rtl w:val="0"/>
        </w:rPr>
        <w:t xml:space="preserve">3.3. Teste e avaliação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720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E por fim, também vale dizer que esse protótipo será testado em um ambiente informal, com amigos e familiares das desenvolvedoras, visando avaliar a clareza das regras, o equilíbrio das mecânicas e o potencial educativo do jogo. Serão observados aspectos como engajamento, interação entre jogadores e assimilação dos conceitos de AOC. Ao final das partidas, os participantes responderão a um questionário breve, permitindo identificar percepções sobre diversão, aprendizado e possíveis melhorias. Os resultados obtidos subsidiarão ajustes no protótipo antes de sua aplicação em contexto acadêmico.</w:t>
      </w:r>
    </w:p>
    <w:p w:rsidR="00000000" w:rsidDel="00000000" w:rsidP="00000000" w:rsidRDefault="00000000" w:rsidRPr="00000000" w14:paraId="00000028">
      <w:pPr>
        <w:tabs>
          <w:tab w:val="left" w:leader="none" w:pos="720"/>
        </w:tabs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 Resultados esperados</w:t>
      </w:r>
    </w:p>
    <w:p w:rsidR="00000000" w:rsidDel="00000000" w:rsidP="00000000" w:rsidRDefault="00000000" w:rsidRPr="00000000" w14:paraId="00000029">
      <w:pPr>
        <w:tabs>
          <w:tab w:val="left" w:leader="none" w:pos="720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Com o uso do UNOcore, espera-se tornar o aprendizado de Arquitetura e Organização de Computadores (AOC) mais dinâmico e acessível. O jogo deve ajudar os alunos a compreender e fixar conceitos como memória, armazenamento e periféricos de E/S por meio da associação entre jogadas e funções reais do hardware.</w:t>
      </w:r>
    </w:p>
    <w:p w:rsidR="00000000" w:rsidDel="00000000" w:rsidP="00000000" w:rsidRDefault="00000000" w:rsidRPr="00000000" w14:paraId="0000002A">
      <w:pPr>
        <w:tabs>
          <w:tab w:val="left" w:leader="none" w:pos="720"/>
        </w:tabs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O protótipo pretende estimular o raciocínio lógico, a participação em grupo e o interesse pelos conteúdos técnicos, facilitando a aprendizagem ativa e colaborativa. A expectativa é que os estudantes consigam relacionar teoria e prática de forma mais natural, reduzindo a dificuldade de compreender temas abstratos.</w:t>
      </w:r>
    </w:p>
    <w:p w:rsidR="00000000" w:rsidDel="00000000" w:rsidP="00000000" w:rsidRDefault="00000000" w:rsidRPr="00000000" w14:paraId="0000002B">
      <w:pPr>
        <w:tabs>
          <w:tab w:val="left" w:leader="none" w:pos="720"/>
        </w:tabs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Além disso, espera-se que o UNOcore se consolide como uma ferramenta didática complementar, aplicável em disciplinas introdutórias de Computação e Engenharia, contribuindo para metodologias de ensino mais interativas e envolventes.</w:t>
      </w:r>
    </w:p>
    <w:p w:rsidR="00000000" w:rsidDel="00000000" w:rsidP="00000000" w:rsidRDefault="00000000" w:rsidRPr="00000000" w14:paraId="0000002C">
      <w:pPr>
        <w:keepNext w:val="1"/>
        <w:tabs>
          <w:tab w:val="left" w:leader="none" w:pos="720"/>
        </w:tabs>
        <w:spacing w:before="240" w:lineRule="auto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5. Conclusão</w:t>
      </w:r>
    </w:p>
    <w:p w:rsidR="00000000" w:rsidDel="00000000" w:rsidP="00000000" w:rsidRDefault="00000000" w:rsidRPr="00000000" w14:paraId="0000002D">
      <w:pPr>
        <w:tabs>
          <w:tab w:val="left" w:leader="none" w:pos="720"/>
        </w:tabs>
        <w:rPr/>
      </w:pPr>
      <w:r w:rsidDel="00000000" w:rsidR="00000000" w:rsidRPr="00000000">
        <w:rPr>
          <w:rtl w:val="0"/>
        </w:rPr>
        <w:t xml:space="preserve">Portanto, pode-se concluir que o UNOcore propõe uma abordagem inovadora para o ensino de AOC, transformando conceitos técnicos em dinâmicas de jogo simples e intuitivas. Ao adaptar as regras do UNO, o projeto utiliza a ludicidade como estratégia para facilitar a compreensão de temas complexos, como hierarquia de memória, interrupções e gerenciamento de processos.</w:t>
      </w:r>
    </w:p>
    <w:p w:rsidR="00000000" w:rsidDel="00000000" w:rsidP="00000000" w:rsidRDefault="00000000" w:rsidRPr="00000000" w14:paraId="0000002E">
      <w:pPr>
        <w:tabs>
          <w:tab w:val="left" w:leader="none" w:pos="720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Como continuidade, prevê-se a ampliação do conjunto de cartas e o desenvolvimento de uma versão digital, possibilitando maior alcance e integração com ambientes educacionais.</w:t>
      </w:r>
    </w:p>
    <w:p w:rsidR="00000000" w:rsidDel="00000000" w:rsidP="00000000" w:rsidRDefault="00000000" w:rsidRPr="00000000" w14:paraId="0000002F">
      <w:pPr>
        <w:keepNext w:val="1"/>
        <w:tabs>
          <w:tab w:val="left" w:leader="none" w:pos="720"/>
        </w:tabs>
        <w:spacing w:before="240" w:lineRule="auto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Referências</w:t>
      </w:r>
    </w:p>
    <w:p w:rsidR="00000000" w:rsidDel="00000000" w:rsidP="00000000" w:rsidRDefault="00000000" w:rsidRPr="00000000" w14:paraId="00000030">
      <w:pPr>
        <w:tabs>
          <w:tab w:val="left" w:leader="none" w:pos="720"/>
        </w:tabs>
        <w:ind w:left="284"/>
        <w:rPr/>
      </w:pPr>
      <w:r w:rsidDel="00000000" w:rsidR="00000000" w:rsidRPr="00000000">
        <w:rPr>
          <w:rtl w:val="0"/>
        </w:rPr>
        <w:t xml:space="preserve">SILVA, J. R.; LOPES, C. A.; MARTINS, D. F. Computer Architecture Game: Uma Abordagem Lúdica para o Ensino de AOC. Congresso Brasileiro de Educação em Computação, 2019.</w:t>
      </w:r>
    </w:p>
    <w:p w:rsidR="00000000" w:rsidDel="00000000" w:rsidP="00000000" w:rsidRDefault="00000000" w:rsidRPr="00000000" w14:paraId="00000031">
      <w:pPr>
        <w:tabs>
          <w:tab w:val="left" w:leader="none" w:pos="720"/>
        </w:tabs>
        <w:ind w:left="284"/>
        <w:rPr/>
      </w:pPr>
      <w:r w:rsidDel="00000000" w:rsidR="00000000" w:rsidRPr="00000000">
        <w:rPr>
          <w:rtl w:val="0"/>
        </w:rPr>
        <w:t xml:space="preserve">STALLINGS, W. Arquitetura e Organização de Computadores. 10. ed. São Paulo: Pearson, 2018.</w:t>
      </w:r>
    </w:p>
    <w:p w:rsidR="00000000" w:rsidDel="00000000" w:rsidP="00000000" w:rsidRDefault="00000000" w:rsidRPr="00000000" w14:paraId="00000032">
      <w:pPr>
        <w:tabs>
          <w:tab w:val="left" w:leader="none" w:pos="720"/>
        </w:tabs>
        <w:ind w:left="284"/>
        <w:rPr/>
      </w:pPr>
      <w:r w:rsidDel="00000000" w:rsidR="00000000" w:rsidRPr="00000000">
        <w:rPr>
          <w:rtl w:val="0"/>
        </w:rPr>
        <w:t xml:space="preserve">TANENBAUM, A. S.; AUSTIN, T. Structured Computer Organization. 6. ed. Pearson, 2013.Boulic, R. and Renault, O. (1991) “3D Hierarchies for Animation”, In: New Trends in Animation and Visualization, Edited by Nadia Magnenat-Thalmann and Daniel Thalmann, John Wiley &amp; Sons ltd., England.</w:t>
      </w:r>
    </w:p>
    <w:p w:rsidR="00000000" w:rsidDel="00000000" w:rsidP="00000000" w:rsidRDefault="00000000" w:rsidRPr="00000000" w14:paraId="00000033">
      <w:pPr>
        <w:tabs>
          <w:tab w:val="left" w:leader="none" w:pos="720"/>
        </w:tabs>
        <w:ind w:left="284"/>
        <w:rPr/>
      </w:pPr>
      <w:r w:rsidDel="00000000" w:rsidR="00000000" w:rsidRPr="00000000">
        <w:rPr>
          <w:rtl w:val="0"/>
        </w:rPr>
        <w:t xml:space="preserve">MATTEL. UNO® – Instruction Sheet (GDJ85). El Segundo, CA: Mattel, 2018. Disponível em: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https://service.mattel.com/instruction_sheets/GDJ85-Eng.pdf</w:t>
        </w:r>
      </w:hyperlink>
      <w:r w:rsidDel="00000000" w:rsidR="00000000" w:rsidRPr="00000000">
        <w:rPr>
          <w:rtl w:val="0"/>
        </w:rPr>
        <w:t xml:space="preserve">. Acesso em: 27 out. 2025.</w:t>
      </w:r>
    </w:p>
    <w:p w:rsidR="00000000" w:rsidDel="00000000" w:rsidP="00000000" w:rsidRDefault="00000000" w:rsidRPr="00000000" w14:paraId="00000034">
      <w:pPr>
        <w:tabs>
          <w:tab w:val="left" w:leader="none" w:pos="720"/>
        </w:tabs>
        <w:ind w:left="284"/>
        <w:rPr/>
        <w:sectPr>
          <w:headerReference r:id="rId12" w:type="default"/>
          <w:headerReference r:id="rId13" w:type="even"/>
          <w:footerReference r:id="rId14" w:type="first"/>
          <w:footerReference r:id="rId15" w:type="even"/>
          <w:type w:val="continuous"/>
          <w:pgSz w:h="16840" w:w="11907" w:orient="portrait"/>
          <w:pgMar w:bottom="1418" w:top="1985" w:left="1701" w:right="1701" w:header="964" w:footer="964"/>
        </w:sectPr>
      </w:pPr>
      <w:r w:rsidDel="00000000" w:rsidR="00000000" w:rsidRPr="00000000">
        <w:rPr>
          <w:rtl w:val="0"/>
        </w:rPr>
        <w:t xml:space="preserve">ASMODEE. UNO Rules: How to Play UNO. Londres: Asmodee UK, 2023. Disponível em: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https://www.asmodee.co.uk/blogs/news/uno-rules</w:t>
        </w:r>
      </w:hyperlink>
      <w:r w:rsidDel="00000000" w:rsidR="00000000" w:rsidRPr="00000000">
        <w:rPr>
          <w:rtl w:val="0"/>
        </w:rPr>
        <w:t xml:space="preserve">. Acesso em: 27 out. 2025.</w:t>
      </w:r>
    </w:p>
    <w:p w:rsidR="00000000" w:rsidDel="00000000" w:rsidP="00000000" w:rsidRDefault="00000000" w:rsidRPr="00000000" w14:paraId="0000003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7" w:type="default"/>
          <w:headerReference r:id="rId18" w:type="even"/>
          <w:footerReference r:id="rId19" w:type="first"/>
          <w:footerReference r:id="rId20" w:type="even"/>
          <w:type w:val="nextPage"/>
          <w:pgSz w:h="16840" w:w="11907" w:orient="portrait"/>
          <w:pgMar w:bottom="1440" w:top="1440" w:left="1440" w:right="1440" w:header="720" w:footer="720"/>
          <w:pgNumType w:start="1"/>
        </w:sectPr>
      </w:pPr>
      <w:bookmarkStart w:colFirst="0" w:colLast="0" w:name="_8axrztqrfkp0" w:id="1"/>
      <w:bookmarkEnd w:id="1"/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Tabelas de cartas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tabs>
          <w:tab w:val="left" w:leader="none" w:pos="720"/>
        </w:tabs>
        <w:spacing w:after="120" w:lineRule="auto"/>
        <w:ind w:left="454" w:right="454"/>
        <w:jc w:val="center"/>
        <w:rPr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Tabela 1. Quantidade de cartas do UNOcore</w:t>
      </w:r>
      <w:r w:rsidDel="00000000" w:rsidR="00000000" w:rsidRPr="00000000">
        <w:rPr>
          <w:rtl w:val="0"/>
        </w:rPr>
      </w:r>
    </w:p>
    <w:tbl>
      <w:tblPr>
        <w:tblStyle w:val="Table1"/>
        <w:tblW w:w="9027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"/>
        <w:gridCol w:w="3009"/>
        <w:gridCol w:w="3009"/>
        <w:tblGridChange w:id="0">
          <w:tblGrid>
            <w:gridCol w:w="3009"/>
            <w:gridCol w:w="3009"/>
            <w:gridCol w:w="300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widowControl w:val="0"/>
              <w:spacing w:before="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Tipo de Carta</w:t>
            </w:r>
          </w:p>
        </w:tc>
        <w:tc>
          <w:tcPr/>
          <w:p w:rsidR="00000000" w:rsidDel="00000000" w:rsidP="00000000" w:rsidRDefault="00000000" w:rsidRPr="00000000" w14:paraId="00000038">
            <w:pPr>
              <w:widowControl w:val="0"/>
              <w:spacing w:before="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Quantidade</w:t>
            </w:r>
          </w:p>
        </w:tc>
        <w:tc>
          <w:tcPr/>
          <w:p w:rsidR="00000000" w:rsidDel="00000000" w:rsidP="00000000" w:rsidRDefault="00000000" w:rsidRPr="00000000" w14:paraId="00000039">
            <w:pPr>
              <w:widowControl w:val="0"/>
              <w:spacing w:before="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Subtotal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widowControl w:val="0"/>
              <w:spacing w:before="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cartas de tecnologia</w:t>
            </w:r>
          </w:p>
        </w:tc>
        <w:tc>
          <w:tcPr/>
          <w:p w:rsidR="00000000" w:rsidDel="00000000" w:rsidP="00000000" w:rsidRDefault="00000000" w:rsidRPr="00000000" w14:paraId="0000003B">
            <w:pPr>
              <w:widowControl w:val="0"/>
              <w:spacing w:before="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20 por cor</w:t>
            </w:r>
          </w:p>
        </w:tc>
        <w:tc>
          <w:tcPr/>
          <w:p w:rsidR="00000000" w:rsidDel="00000000" w:rsidP="00000000" w:rsidRDefault="00000000" w:rsidRPr="00000000" w14:paraId="0000003C">
            <w:pPr>
              <w:widowControl w:val="0"/>
              <w:spacing w:before="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80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widowControl w:val="0"/>
              <w:spacing w:before="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cartas especiais</w:t>
            </w:r>
          </w:p>
        </w:tc>
        <w:tc>
          <w:tcPr/>
          <w:p w:rsidR="00000000" w:rsidDel="00000000" w:rsidP="00000000" w:rsidRDefault="00000000" w:rsidRPr="00000000" w14:paraId="0000003E">
            <w:pPr>
              <w:widowControl w:val="0"/>
              <w:spacing w:before="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8 por cor</w:t>
            </w:r>
          </w:p>
        </w:tc>
        <w:tc>
          <w:tcPr/>
          <w:p w:rsidR="00000000" w:rsidDel="00000000" w:rsidP="00000000" w:rsidRDefault="00000000" w:rsidRPr="00000000" w14:paraId="0000003F">
            <w:pPr>
              <w:widowControl w:val="0"/>
              <w:spacing w:before="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32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widowControl w:val="0"/>
              <w:spacing w:before="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cartas coringas</w:t>
            </w:r>
          </w:p>
        </w:tc>
        <w:tc>
          <w:tcPr/>
          <w:p w:rsidR="00000000" w:rsidDel="00000000" w:rsidP="00000000" w:rsidRDefault="00000000" w:rsidRPr="00000000" w14:paraId="00000041">
            <w:pPr>
              <w:widowControl w:val="0"/>
              <w:spacing w:before="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42">
            <w:pPr>
              <w:widowControl w:val="0"/>
              <w:spacing w:before="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widowControl w:val="0"/>
              <w:spacing w:before="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total</w:t>
            </w:r>
          </w:p>
        </w:tc>
        <w:tc>
          <w:tcPr/>
          <w:p w:rsidR="00000000" w:rsidDel="00000000" w:rsidP="00000000" w:rsidRDefault="00000000" w:rsidRPr="00000000" w14:paraId="00000044">
            <w:pPr>
              <w:widowControl w:val="0"/>
              <w:spacing w:before="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widowControl w:val="0"/>
              <w:spacing w:before="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118</w:t>
            </w:r>
          </w:p>
        </w:tc>
      </w:tr>
    </w:tbl>
    <w:p w:rsidR="00000000" w:rsidDel="00000000" w:rsidP="00000000" w:rsidRDefault="00000000" w:rsidRPr="00000000" w14:paraId="00000046">
      <w:pPr>
        <w:tabs>
          <w:tab w:val="left" w:leader="none" w:pos="720"/>
        </w:tabs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tabs>
          <w:tab w:val="left" w:leader="none" w:pos="720"/>
        </w:tabs>
        <w:spacing w:after="120" w:lineRule="auto"/>
        <w:ind w:left="454" w:right="454"/>
        <w:jc w:val="center"/>
        <w:rPr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Tabela 2. Cartas do UNOcore</w:t>
      </w:r>
      <w:r w:rsidDel="00000000" w:rsidR="00000000" w:rsidRPr="00000000">
        <w:rPr>
          <w:rtl w:val="0"/>
        </w:rPr>
      </w:r>
    </w:p>
    <w:tbl>
      <w:tblPr>
        <w:tblStyle w:val="Table2"/>
        <w:tblW w:w="84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75"/>
        <w:gridCol w:w="2730"/>
        <w:gridCol w:w="3555"/>
        <w:tblGridChange w:id="0">
          <w:tblGrid>
            <w:gridCol w:w="2175"/>
            <w:gridCol w:w="2730"/>
            <w:gridCol w:w="355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widowControl w:val="0"/>
              <w:spacing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Carta</w:t>
            </w:r>
          </w:p>
        </w:tc>
        <w:tc>
          <w:tcPr/>
          <w:p w:rsidR="00000000" w:rsidDel="00000000" w:rsidP="00000000" w:rsidRDefault="00000000" w:rsidRPr="00000000" w14:paraId="00000049">
            <w:pPr>
              <w:widowControl w:val="0"/>
              <w:spacing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Efeito no Jogo</w:t>
            </w:r>
          </w:p>
        </w:tc>
        <w:tc>
          <w:tcPr/>
          <w:p w:rsidR="00000000" w:rsidDel="00000000" w:rsidP="00000000" w:rsidRDefault="00000000" w:rsidRPr="00000000" w14:paraId="0000004A">
            <w:pPr>
              <w:widowControl w:val="0"/>
              <w:spacing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Conceito AOC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widowControl w:val="0"/>
              <w:spacing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interrupção</w:t>
            </w:r>
          </w:p>
        </w:tc>
        <w:tc>
          <w:tcPr/>
          <w:p w:rsidR="00000000" w:rsidDel="00000000" w:rsidP="00000000" w:rsidRDefault="00000000" w:rsidRPr="00000000" w14:paraId="0000004C">
            <w:pPr>
              <w:widowControl w:val="0"/>
              <w:spacing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pula o próximo jogador</w:t>
            </w:r>
          </w:p>
        </w:tc>
        <w:tc>
          <w:tcPr/>
          <w:p w:rsidR="00000000" w:rsidDel="00000000" w:rsidP="00000000" w:rsidRDefault="00000000" w:rsidRPr="00000000" w14:paraId="0000004D">
            <w:pPr>
              <w:widowControl w:val="0"/>
              <w:spacing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evento que interrompe o fluxo da CPU para tratar uma ação urgente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widowControl w:val="0"/>
              <w:spacing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DMA(acesso direto à memória)</w:t>
            </w:r>
          </w:p>
        </w:tc>
        <w:tc>
          <w:tcPr/>
          <w:p w:rsidR="00000000" w:rsidDel="00000000" w:rsidP="00000000" w:rsidRDefault="00000000" w:rsidRPr="00000000" w14:paraId="0000004F">
            <w:pPr>
              <w:widowControl w:val="0"/>
              <w:spacing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 próximo jogador compra mais duas cartas</w:t>
            </w:r>
          </w:p>
        </w:tc>
        <w:tc>
          <w:tcPr/>
          <w:p w:rsidR="00000000" w:rsidDel="00000000" w:rsidP="00000000" w:rsidRDefault="00000000" w:rsidRPr="00000000" w14:paraId="00000050">
            <w:pPr>
              <w:widowControl w:val="0"/>
              <w:spacing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permite transferência direta entre E/S e memória sem uso intenso da CPU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widowControl w:val="0"/>
              <w:spacing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deadlock</w:t>
            </w:r>
          </w:p>
        </w:tc>
        <w:tc>
          <w:tcPr/>
          <w:p w:rsidR="00000000" w:rsidDel="00000000" w:rsidP="00000000" w:rsidRDefault="00000000" w:rsidRPr="00000000" w14:paraId="00000052">
            <w:pPr>
              <w:widowControl w:val="0"/>
              <w:spacing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bloqueia o próximo jogador</w:t>
            </w:r>
          </w:p>
        </w:tc>
        <w:tc>
          <w:tcPr/>
          <w:p w:rsidR="00000000" w:rsidDel="00000000" w:rsidP="00000000" w:rsidRDefault="00000000" w:rsidRPr="00000000" w14:paraId="00000053">
            <w:pPr>
              <w:widowControl w:val="0"/>
              <w:spacing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situação de bloqueio mútuo entre processos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widowControl w:val="0"/>
              <w:spacing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gerenciador de processos</w:t>
            </w:r>
          </w:p>
        </w:tc>
        <w:tc>
          <w:tcPr/>
          <w:p w:rsidR="00000000" w:rsidDel="00000000" w:rsidP="00000000" w:rsidRDefault="00000000" w:rsidRPr="00000000" w14:paraId="00000055">
            <w:pPr>
              <w:widowControl w:val="0"/>
              <w:spacing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inverte o sentido do jogo</w:t>
            </w:r>
          </w:p>
        </w:tc>
        <w:tc>
          <w:tcPr/>
          <w:p w:rsidR="00000000" w:rsidDel="00000000" w:rsidP="00000000" w:rsidRDefault="00000000" w:rsidRPr="00000000" w14:paraId="00000056">
            <w:pPr>
              <w:widowControl w:val="0"/>
              <w:spacing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coordena e controla a execução de processos no sistema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widowControl w:val="0"/>
              <w:spacing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CPU</w:t>
            </w:r>
          </w:p>
        </w:tc>
        <w:tc>
          <w:tcPr/>
          <w:p w:rsidR="00000000" w:rsidDel="00000000" w:rsidP="00000000" w:rsidRDefault="00000000" w:rsidRPr="00000000" w14:paraId="00000058">
            <w:pPr>
              <w:widowControl w:val="0"/>
              <w:spacing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muda a cor</w:t>
            </w:r>
          </w:p>
        </w:tc>
        <w:tc>
          <w:tcPr/>
          <w:p w:rsidR="00000000" w:rsidDel="00000000" w:rsidP="00000000" w:rsidRDefault="00000000" w:rsidRPr="00000000" w14:paraId="00000059">
            <w:pPr>
              <w:widowControl w:val="0"/>
              <w:spacing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Unidade Central de Processamento — responsável por executar instruções e controlar operações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widowControl w:val="0"/>
              <w:spacing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</w:t>
            </w:r>
          </w:p>
        </w:tc>
        <w:tc>
          <w:tcPr/>
          <w:p w:rsidR="00000000" w:rsidDel="00000000" w:rsidP="00000000" w:rsidRDefault="00000000" w:rsidRPr="00000000" w14:paraId="0000005B">
            <w:pPr>
              <w:widowControl w:val="0"/>
              <w:spacing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muda a cor e faz o próximo jogador comprar mais 4 cartas</w:t>
            </w:r>
          </w:p>
        </w:tc>
        <w:tc>
          <w:tcPr/>
          <w:p w:rsidR="00000000" w:rsidDel="00000000" w:rsidP="00000000" w:rsidRDefault="00000000" w:rsidRPr="00000000" w14:paraId="0000005C">
            <w:pPr>
              <w:widowControl w:val="0"/>
              <w:spacing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controla recursos e processos, sendo o “centro de comando” do sistema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widowControl w:val="0"/>
              <w:spacing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SSD</w:t>
            </w:r>
          </w:p>
        </w:tc>
        <w:tc>
          <w:tcPr/>
          <w:p w:rsidR="00000000" w:rsidDel="00000000" w:rsidP="00000000" w:rsidRDefault="00000000" w:rsidRPr="00000000" w14:paraId="0000005E">
            <w:pPr>
              <w:widowControl w:val="0"/>
              <w:spacing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carta normal de armazenamento</w:t>
            </w:r>
          </w:p>
        </w:tc>
        <w:tc>
          <w:tcPr/>
          <w:p w:rsidR="00000000" w:rsidDel="00000000" w:rsidP="00000000" w:rsidRDefault="00000000" w:rsidRPr="00000000" w14:paraId="0000005F">
            <w:pPr>
              <w:widowControl w:val="0"/>
              <w:spacing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armazena dados de forma rápida e permanente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widowControl w:val="0"/>
              <w:spacing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HD</w:t>
            </w:r>
          </w:p>
        </w:tc>
        <w:tc>
          <w:tcPr/>
          <w:p w:rsidR="00000000" w:rsidDel="00000000" w:rsidP="00000000" w:rsidRDefault="00000000" w:rsidRPr="00000000" w14:paraId="00000061">
            <w:pPr>
              <w:widowControl w:val="0"/>
              <w:spacing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carta normal de armazenamento</w:t>
            </w:r>
          </w:p>
        </w:tc>
        <w:tc>
          <w:tcPr/>
          <w:p w:rsidR="00000000" w:rsidDel="00000000" w:rsidP="00000000" w:rsidRDefault="00000000" w:rsidRPr="00000000" w14:paraId="00000062">
            <w:pPr>
              <w:widowControl w:val="0"/>
              <w:spacing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armazena grandes volumes de dados, porém mais lentamente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widowControl w:val="0"/>
              <w:spacing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nuvem</w:t>
            </w:r>
          </w:p>
        </w:tc>
        <w:tc>
          <w:tcPr/>
          <w:p w:rsidR="00000000" w:rsidDel="00000000" w:rsidP="00000000" w:rsidRDefault="00000000" w:rsidRPr="00000000" w14:paraId="00000064">
            <w:pPr>
              <w:widowControl w:val="0"/>
              <w:spacing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carta normal de armazenamento</w:t>
            </w:r>
          </w:p>
        </w:tc>
        <w:tc>
          <w:tcPr/>
          <w:p w:rsidR="00000000" w:rsidDel="00000000" w:rsidP="00000000" w:rsidRDefault="00000000" w:rsidRPr="00000000" w14:paraId="00000065">
            <w:pPr>
              <w:widowControl w:val="0"/>
              <w:spacing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armazenamento remoto acessível pela internet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widowControl w:val="0"/>
              <w:spacing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teclado</w:t>
            </w:r>
          </w:p>
        </w:tc>
        <w:tc>
          <w:tcPr/>
          <w:p w:rsidR="00000000" w:rsidDel="00000000" w:rsidP="00000000" w:rsidRDefault="00000000" w:rsidRPr="00000000" w14:paraId="00000067">
            <w:pPr>
              <w:widowControl w:val="0"/>
              <w:spacing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carta normal de entrada (E/S)</w:t>
            </w:r>
          </w:p>
        </w:tc>
        <w:tc>
          <w:tcPr/>
          <w:p w:rsidR="00000000" w:rsidDel="00000000" w:rsidP="00000000" w:rsidRDefault="00000000" w:rsidRPr="00000000" w14:paraId="00000068">
            <w:pPr>
              <w:widowControl w:val="0"/>
              <w:spacing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dispositivo que envia comandos para o computador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widowControl w:val="0"/>
              <w:spacing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mouse</w:t>
            </w:r>
          </w:p>
        </w:tc>
        <w:tc>
          <w:tcPr/>
          <w:p w:rsidR="00000000" w:rsidDel="00000000" w:rsidP="00000000" w:rsidRDefault="00000000" w:rsidRPr="00000000" w14:paraId="0000006A">
            <w:pPr>
              <w:widowControl w:val="0"/>
              <w:spacing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carta normal de entrada (E/S)</w:t>
            </w:r>
          </w:p>
        </w:tc>
        <w:tc>
          <w:tcPr/>
          <w:p w:rsidR="00000000" w:rsidDel="00000000" w:rsidP="00000000" w:rsidRDefault="00000000" w:rsidRPr="00000000" w14:paraId="0000006B">
            <w:pPr>
              <w:widowControl w:val="0"/>
              <w:spacing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dispositivo que movimenta e seleciona itens na tela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widowControl w:val="0"/>
              <w:spacing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monitor</w:t>
            </w:r>
          </w:p>
        </w:tc>
        <w:tc>
          <w:tcPr/>
          <w:p w:rsidR="00000000" w:rsidDel="00000000" w:rsidP="00000000" w:rsidRDefault="00000000" w:rsidRPr="00000000" w14:paraId="0000006D">
            <w:pPr>
              <w:widowControl w:val="0"/>
              <w:spacing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carta normal de entrada (E/S)</w:t>
            </w:r>
          </w:p>
        </w:tc>
        <w:tc>
          <w:tcPr/>
          <w:p w:rsidR="00000000" w:rsidDel="00000000" w:rsidP="00000000" w:rsidRDefault="00000000" w:rsidRPr="00000000" w14:paraId="0000006E">
            <w:pPr>
              <w:widowControl w:val="0"/>
              <w:spacing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exibe imagens e resultados ao usuário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widowControl w:val="0"/>
              <w:spacing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registrador</w:t>
            </w:r>
          </w:p>
        </w:tc>
        <w:tc>
          <w:tcPr/>
          <w:p w:rsidR="00000000" w:rsidDel="00000000" w:rsidP="00000000" w:rsidRDefault="00000000" w:rsidRPr="00000000" w14:paraId="00000070">
            <w:pPr>
              <w:widowControl w:val="0"/>
              <w:spacing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carta normal de memória</w:t>
            </w:r>
          </w:p>
        </w:tc>
        <w:tc>
          <w:tcPr/>
          <w:p w:rsidR="00000000" w:rsidDel="00000000" w:rsidP="00000000" w:rsidRDefault="00000000" w:rsidRPr="00000000" w14:paraId="00000071">
            <w:pPr>
              <w:widowControl w:val="0"/>
              <w:spacing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parte mais rápida da CPU, guarda valores temporários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widowControl w:val="0"/>
              <w:spacing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cache</w:t>
            </w:r>
          </w:p>
        </w:tc>
        <w:tc>
          <w:tcPr/>
          <w:p w:rsidR="00000000" w:rsidDel="00000000" w:rsidP="00000000" w:rsidRDefault="00000000" w:rsidRPr="00000000" w14:paraId="00000073">
            <w:pPr>
              <w:widowControl w:val="0"/>
              <w:spacing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carta normal de memória</w:t>
            </w:r>
          </w:p>
        </w:tc>
        <w:tc>
          <w:tcPr/>
          <w:p w:rsidR="00000000" w:rsidDel="00000000" w:rsidP="00000000" w:rsidRDefault="00000000" w:rsidRPr="00000000" w14:paraId="00000074">
            <w:pPr>
              <w:widowControl w:val="0"/>
              <w:spacing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guarda dados usados com frequência para acesso rápido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widowControl w:val="0"/>
              <w:spacing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memória RAM</w:t>
            </w:r>
          </w:p>
        </w:tc>
        <w:tc>
          <w:tcPr/>
          <w:p w:rsidR="00000000" w:rsidDel="00000000" w:rsidP="00000000" w:rsidRDefault="00000000" w:rsidRPr="00000000" w14:paraId="00000076">
            <w:pPr>
              <w:widowControl w:val="0"/>
              <w:spacing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carta normal de memória</w:t>
            </w:r>
          </w:p>
        </w:tc>
        <w:tc>
          <w:tcPr/>
          <w:p w:rsidR="00000000" w:rsidDel="00000000" w:rsidP="00000000" w:rsidRDefault="00000000" w:rsidRPr="00000000" w14:paraId="00000077">
            <w:pPr>
              <w:widowControl w:val="0"/>
              <w:spacing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guarda dados temporários enquanto o computador está ligado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widowControl w:val="0"/>
              <w:spacing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memória virtual</w:t>
            </w:r>
          </w:p>
        </w:tc>
        <w:tc>
          <w:tcPr/>
          <w:p w:rsidR="00000000" w:rsidDel="00000000" w:rsidP="00000000" w:rsidRDefault="00000000" w:rsidRPr="00000000" w14:paraId="00000079">
            <w:pPr>
              <w:widowControl w:val="0"/>
              <w:spacing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carta normal de memória</w:t>
            </w:r>
          </w:p>
        </w:tc>
        <w:tc>
          <w:tcPr/>
          <w:p w:rsidR="00000000" w:rsidDel="00000000" w:rsidP="00000000" w:rsidRDefault="00000000" w:rsidRPr="00000000" w14:paraId="0000007A">
            <w:pPr>
              <w:widowControl w:val="0"/>
              <w:spacing w:before="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extensão da RAM no armazenamento secundário</w:t>
            </w:r>
          </w:p>
        </w:tc>
      </w:tr>
    </w:tbl>
    <w:p w:rsidR="00000000" w:rsidDel="00000000" w:rsidP="00000000" w:rsidRDefault="00000000" w:rsidRPr="00000000" w14:paraId="0000007B">
      <w:pPr>
        <w:tabs>
          <w:tab w:val="left" w:leader="none" w:pos="720"/>
        </w:tabs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tabs>
          <w:tab w:val="left" w:leader="none" w:pos="720"/>
        </w:tabs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Como funciona a partida: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tabs>
          <w:tab w:val="left" w:leader="none" w:pos="720"/>
        </w:tabs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Um jogador é escolhido como distribuidor (dealer), ele embaralha o baralho e distribui sete cartas a cada participante.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tabs>
          <w:tab w:val="left" w:leader="none" w:pos="720"/>
        </w:tabs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As cartas restantes formam a Pilha de Compra, viradas para baixo, e a carta do topo é virada para formar a Pilha de Descarte.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tabs>
          <w:tab w:val="left" w:leader="none" w:pos="720"/>
        </w:tabs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O jogador à esquerda do distribuidor inicia a partida; o jogo segue no sentido horário, a menos que uma carta de “reverse” mude a direção.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tabs>
          <w:tab w:val="left" w:leader="none" w:pos="720"/>
        </w:tabs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Em sua vez, o jogador pode jogar uma carta que </w:t>
      </w:r>
      <w:r w:rsidDel="00000000" w:rsidR="00000000" w:rsidRPr="00000000">
        <w:rPr>
          <w:b w:val="1"/>
          <w:bCs w:val="1"/>
          <w:rtl w:val="0"/>
        </w:rPr>
        <w:t xml:space="preserve">combine cor, número ou símbolo</w:t>
      </w:r>
      <w:r w:rsidDel="00000000" w:rsidR="00000000" w:rsidRPr="00000000">
        <w:rPr>
          <w:rtl w:val="0"/>
        </w:rPr>
        <w:t xml:space="preserve"> da carta no topo da pilha de descarte, ou jogar uma carta curinga  que permite escolher a cor a seguir.</w:t>
      </w:r>
      <w:hyperlink r:id="rId21">
        <w:r w:rsidDel="00000000" w:rsidR="00000000" w:rsidRPr="00000000">
          <w:rPr>
            <w:rtl w:val="0"/>
          </w:rPr>
          <w:t xml:space="preserve"> </w:t>
        </w:r>
      </w:hyperlink>
      <w:r w:rsidDel="00000000" w:rsidR="00000000" w:rsidRPr="00000000">
        <w:rPr>
          <w:rtl w:val="0"/>
        </w:rPr>
        <w:t xml:space="preserve"> Se o jogador não puder ou não quiser jogar, ele compra uma carta da pilha de compra. Se essa carta for jogável, pode ser descartada nessa mesma vez.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tabs>
          <w:tab w:val="left" w:leader="none" w:pos="720"/>
        </w:tabs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Quando um jogador ficar com apenas </w:t>
      </w:r>
      <w:r w:rsidDel="00000000" w:rsidR="00000000" w:rsidRPr="00000000">
        <w:rPr>
          <w:b w:val="1"/>
          <w:bCs w:val="1"/>
          <w:rtl w:val="0"/>
        </w:rPr>
        <w:t xml:space="preserve">uma carta</w:t>
      </w:r>
      <w:r w:rsidDel="00000000" w:rsidR="00000000" w:rsidRPr="00000000">
        <w:rPr>
          <w:rtl w:val="0"/>
        </w:rPr>
        <w:t xml:space="preserve"> na mão, ele deve exclamar “UNO!” para alertar os demais que está prestes a vencer. Se não fizer isso e for pego antes do próximo jogador agir, será penalizado, comprando duas cartas.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tabs>
          <w:tab w:val="left" w:leader="none" w:pos="720"/>
        </w:tabs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O jogo termina quando um jogador descarta sua última carta — ele vence a rodada.</w:t>
      </w:r>
    </w:p>
    <w:sectPr>
      <w:headerReference r:id="rId22" w:type="default"/>
      <w:headerReference r:id="rId23" w:type="even"/>
      <w:footerReference r:id="rId24" w:type="first"/>
      <w:footerReference r:id="rId25" w:type="even"/>
      <w:type w:val="nextPage"/>
      <w:pgSz w:h="16840" w:w="11907" w:orient="portrait"/>
      <w:pgMar w:bottom="1440" w:top="1440" w:left="1440" w:right="1440" w:header="720" w:footer="720"/>
      <w:pgNumType w:start="10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ourier New"/>
  <w:font w:name="Times New Roman"/>
  <w:font w:name="Times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tabs>
        <w:tab w:val="left" w:leader="none" w:pos="720"/>
      </w:tabs>
      <w:jc w:val="left"/>
      <w:rPr/>
    </w:pPr>
    <w:r w:rsidDel="00000000" w:rsidR="00000000" w:rsidRPr="00000000">
      <w:rPr>
        <w:rtl w:val="0"/>
      </w:rPr>
      <w:t xml:space="preserve">Proceedings of the XII SIBGRAPI (October 1999)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tabs>
        <w:tab w:val="left" w:leader="none" w:pos="720"/>
      </w:tabs>
      <w:rPr/>
    </w:pPr>
    <w:r w:rsidDel="00000000" w:rsidR="00000000" w:rsidRPr="00000000">
      <w:rPr>
        <w:rtl w:val="0"/>
      </w:rPr>
      <w:t xml:space="preserve">Proceedings of the XII SIBGRAPI (October 1999) 101-104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tabs>
        <w:tab w:val="left" w:leader="none" w:pos="720"/>
      </w:tabs>
      <w:jc w:val="left"/>
      <w:rPr/>
    </w:pPr>
    <w:r w:rsidDel="00000000" w:rsidR="00000000" w:rsidRPr="00000000">
      <w:rPr>
        <w:rtl w:val="0"/>
      </w:rPr>
      <w:t xml:space="preserve">Proceedings of the XII SIBGRAPI (October 1999)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tabs>
        <w:tab w:val="left" w:leader="none" w:pos="720"/>
      </w:tabs>
      <w:rPr/>
    </w:pPr>
    <w:r w:rsidDel="00000000" w:rsidR="00000000" w:rsidRPr="00000000">
      <w:rPr>
        <w:rtl w:val="0"/>
      </w:rPr>
      <w:t xml:space="preserve">Proceedings of the XII SIBGRAPI (October 1999) 101-104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tabs>
        <w:tab w:val="left" w:leader="none" w:pos="720"/>
      </w:tabs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4">
    <w:pPr>
      <w:tabs>
        <w:tab w:val="right" w:leader="none" w:pos="9356"/>
      </w:tabs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tabs>
        <w:tab w:val="left" w:leader="none" w:pos="720"/>
      </w:tabs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7">
    <w:pPr>
      <w:tabs>
        <w:tab w:val="left" w:leader="none" w:pos="720"/>
      </w:tabs>
      <w:jc w:val="right"/>
      <w:rPr/>
    </w:pPr>
    <w:r w:rsidDel="00000000" w:rsidR="00000000" w:rsidRPr="00000000">
      <w:rPr>
        <w:rtl w:val="0"/>
      </w:rPr>
      <w:t xml:space="preserve">S. Sandri, J. Stolfi, L.Velho</w:t>
    </w:r>
  </w:p>
  <w:p w:rsidR="00000000" w:rsidDel="00000000" w:rsidP="00000000" w:rsidRDefault="00000000" w:rsidRPr="00000000" w14:paraId="00000088">
    <w:pPr>
      <w:tabs>
        <w:tab w:val="left" w:leader="none" w:pos="720"/>
      </w:tabs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tabs>
        <w:tab w:val="left" w:leader="none" w:pos="720"/>
      </w:tabs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B">
    <w:pPr>
      <w:tabs>
        <w:tab w:val="right" w:leader="none" w:pos="9356"/>
      </w:tabs>
      <w:rPr/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tabs>
        <w:tab w:val="left" w:leader="none" w:pos="720"/>
      </w:tabs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E">
    <w:pPr>
      <w:tabs>
        <w:tab w:val="left" w:leader="none" w:pos="720"/>
      </w:tabs>
      <w:jc w:val="right"/>
      <w:rPr/>
    </w:pPr>
    <w:r w:rsidDel="00000000" w:rsidR="00000000" w:rsidRPr="00000000">
      <w:rPr>
        <w:rtl w:val="0"/>
      </w:rPr>
      <w:t xml:space="preserve">S. Sandri, J. Stolfi, L.Velho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imes" w:cs="Times" w:eastAsia="Times" w:hAnsi="Times"/>
        <w:sz w:val="24"/>
        <w:szCs w:val="24"/>
        <w:lang w:val="en-US"/>
      </w:rPr>
    </w:rPrDefault>
    <w:pPrDefault>
      <w:pPr>
        <w:tabs>
          <w:tab w:val="left" w:leader="none" w:pos="720"/>
        </w:tabs>
        <w:spacing w:before="12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5.xml"/><Relationship Id="rId22" Type="http://schemas.openxmlformats.org/officeDocument/2006/relationships/header" Target="header8.xml"/><Relationship Id="rId21" Type="http://schemas.openxmlformats.org/officeDocument/2006/relationships/hyperlink" Target="https://www.unorules.com/?utm_source=chatgpt.com" TargetMode="External"/><Relationship Id="rId24" Type="http://schemas.openxmlformats.org/officeDocument/2006/relationships/footer" Target="footer8.xml"/><Relationship Id="rId23" Type="http://schemas.openxmlformats.org/officeDocument/2006/relationships/header" Target="header7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3.xml"/><Relationship Id="rId25" Type="http://schemas.openxmlformats.org/officeDocument/2006/relationships/footer" Target="footer7.xml"/><Relationship Id="rId5" Type="http://schemas.openxmlformats.org/officeDocument/2006/relationships/styles" Target="styles.xml"/><Relationship Id="rId6" Type="http://schemas.openxmlformats.org/officeDocument/2006/relationships/header" Target="header3.xml"/><Relationship Id="rId7" Type="http://schemas.openxmlformats.org/officeDocument/2006/relationships/header" Target="header4.xml"/><Relationship Id="rId8" Type="http://schemas.openxmlformats.org/officeDocument/2006/relationships/footer" Target="footer4.xml"/><Relationship Id="rId11" Type="http://schemas.openxmlformats.org/officeDocument/2006/relationships/hyperlink" Target="https://service.mattel.com/instruction_sheets/GDJ85-Eng.pdf" TargetMode="External"/><Relationship Id="rId10" Type="http://schemas.openxmlformats.org/officeDocument/2006/relationships/hyperlink" Target="https://docs.google.com/document/d/10-sZo4mvaSGCfpzJGn03HScHc2tEJV15CYcoB0UQHp4/edit?tab=t.eflmwaps5rty" TargetMode="External"/><Relationship Id="rId13" Type="http://schemas.openxmlformats.org/officeDocument/2006/relationships/header" Target="header2.xml"/><Relationship Id="rId12" Type="http://schemas.openxmlformats.org/officeDocument/2006/relationships/header" Target="header1.xml"/><Relationship Id="rId15" Type="http://schemas.openxmlformats.org/officeDocument/2006/relationships/footer" Target="footer1.xml"/><Relationship Id="rId14" Type="http://schemas.openxmlformats.org/officeDocument/2006/relationships/footer" Target="footer2.xml"/><Relationship Id="rId17" Type="http://schemas.openxmlformats.org/officeDocument/2006/relationships/header" Target="header6.xml"/><Relationship Id="rId16" Type="http://schemas.openxmlformats.org/officeDocument/2006/relationships/hyperlink" Target="https://www.asmodee.co.uk/blogs/news/uno-rules" TargetMode="External"/><Relationship Id="rId19" Type="http://schemas.openxmlformats.org/officeDocument/2006/relationships/footer" Target="footer6.xml"/><Relationship Id="rId18" Type="http://schemas.openxmlformats.org/officeDocument/2006/relationships/header" Target="header5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