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Guía 2. Desarrollo Proyecto APT - Asignatura Capstone</w:t>
      </w:r>
    </w:p>
    <w:p>
      <w:pPr>
        <w:jc w:val="left"/>
      </w:pPr>
      <w:r>
        <w:rPr>
          <w:b/>
          <w:bCs/>
        </w:rPr>
        <w:t xml:space="preserve">Proyecto:</w:t>
      </w:r>
      <w:r>
        <w:t xml:space="preserve"> KalliCode — Ecosistema de Software Agéntico (propuesta de Alloxentric) · </w:t>
      </w:r>
      <w:r>
        <w:rPr>
          <w:b/>
          <w:bCs/>
        </w:rPr>
        <w:t xml:space="preserve">Equipo:</w:t>
      </w:r>
      <w:r>
        <w:t xml:space="preserve"> Equipos 5 y 6 del programa (E5 Plataforma y Confianza · E6 Consola de Administración)</w:t>
      </w:r>
    </w:p>
    <w:p>
      <w:pPr>
        <w:jc w:val="left"/>
      </w:pPr>
      <w:r>
        <w:rPr>
          <w:b/>
          <w:bCs/>
        </w:rPr>
        <w:t xml:space="preserve">Integrantes:</w:t>
      </w:r>
      <w:r>
        <w:t xml:space="preserve"> Alejandro González (QA1 · Infraestructura, SRE y CI/CD) · Luis Ibáñez (QA2 · Backend, Seguridad y Datos) · Ana Panes (QA3 · Motor de pruebas IA y E2E)</w:t>
      </w:r>
    </w:p>
    <w:p>
      <w:pPr>
        <w:jc w:val="left"/>
      </w:pPr>
      <w:r>
        <w:rPr>
          <w:b/>
          <w:bCs/>
        </w:rPr>
        <w:t xml:space="preserve">Fecha de corte:</w:t>
      </w:r>
      <w:r>
        <w:t xml:space="preserve"> 28 de octubre de 2026 · </w:t>
      </w:r>
      <w:r>
        <w:rPr>
          <w:b/>
          <w:bCs/>
        </w:rPr>
        <w:t xml:space="preserve">Repositorio de código:</w:t>
      </w:r>
      <w:r>
        <w:t xml:space="preserve"> kallicode-backend, rama develop</w:t>
      </w:r>
    </w:p>
    <w:p>
      <w:pPr>
        <w:pStyle w:val="Heading1"/>
      </w:pPr>
      <w:r>
        <w:t xml:space="preserve">1. Resumen avance Proyecto APT</w:t>
      </w:r>
    </w:p>
    <w:p>
      <w:pPr>
        <w:pStyle w:val="Heading2"/>
      </w:pPr>
      <w:r>
        <w:t xml:space="preserve">Resumen de avance proyecto APT</w:t>
      </w:r>
    </w:p>
    <w:p>
      <w:pPr>
        <w:jc w:val="both"/>
      </w:pPr>
      <w:r>
        <w:t xml:space="preserve">KalliCode es una célula de entrega de software basada en agentes de IA: recibe tickets del cliente y los lleva hasta producción pasando por triage, diseño, construcción, pruebas, seguridad y despliegue, con tres puntos de aprobación humana (gates). Su promesa central es el aislamiento multi-tenant: los datos, el código y las respuestas de IA de cada cliente nunca se cruzan. Dentro del programa, nuestro equipo tiene a cargo la plataforma transversal de calidad (E5) —integración continua, entornos de prueba y suites que verifican el aislamiento entre clientes— y la Consola de Administración (E6).</w:t>
      </w:r>
    </w:p>
    <w:p>
      <w:pPr>
        <w:jc w:val="both"/>
      </w:pPr>
      <w:r>
        <w:rPr>
          <w:b/>
          <w:bCs/>
        </w:rPr>
        <w:t xml:space="preserve">Avance medido al 28-10-2026: 32 %</w:t>
      </w:r>
      <w:r>
        <w:t xml:space="preserve"> del backlog del equipo (23 de 72 tickets y 115 de 355 Story Points, verificados en el historial de git). Los bloques 1 y 2 están cerrados: el entorno de pruebas local reproducible, el CI unificado y las suites de aislamiento multi-tenant (RLS), roles de base de datos, JWT, RBAC, secretos, migraciones y aislamiento de logs. El bloque 3 (motor de generación de pruebas con IA) está en curso. La Consola de Administración (E6) está en </w:t>
      </w:r>
      <w:r>
        <w:rPr>
          <w:b/>
          <w:bCs/>
        </w:rPr>
        <w:t xml:space="preserve">etapa inicial</w:t>
      </w:r>
      <w:r>
        <w:t xml:space="preserve">: se creó su repositorio (kallicode-admin), con un desarrollo todavía incipiente.</w:t>
      </w:r>
    </w:p>
    <w:p>
      <w:pPr>
        <w:jc w:val="both"/>
      </w:pPr>
      <w:r>
        <w:t xml:space="preserve">En esta etapa además se actualizó la documentación de diseño a partir del sistema real: el modelo de datos se reconstruyó desde una base PostgreSQL generada con los scripts del repositorio (60 tablas, 36 de ellas con Row Level Security forzado) y los diagramas de clases, casos de uso y actividades se contrastaron con el código. Ese contraste produjo </w:t>
      </w:r>
      <w:r>
        <w:rPr>
          <w:b/>
          <w:bCs/>
        </w:rPr>
        <w:t xml:space="preserve">siete hallazgos de calidad</w:t>
      </w:r>
      <w:r>
        <w:t xml:space="preserve"> (H-01 a H-07), entre ellos un defecto real en la clasificación de severidad de las escalaciones de seguridad que la prueba existente no detectaba. Además, la suite automatizada del equipo se ejecutó completa en un entorno local reproducible: </w:t>
      </w:r>
      <w:r>
        <w:rPr>
          <w:b/>
          <w:bCs/>
        </w:rPr>
        <w:t xml:space="preserve">62 de 62 pruebas aprobadas</w:t>
      </w:r>
      <w:r>
        <w:t xml:space="preserve"> y </w:t>
      </w:r>
      <w:r>
        <w:rPr>
          <w:b/>
          <w:bCs/>
        </w:rPr>
        <w:t xml:space="preserve">89,7 % de cobertura</w:t>
      </w:r>
      <w:r>
        <w:t xml:space="preserve"> del módulo de pruebas.</w:t>
      </w:r>
    </w:p>
    <w:p>
      <w:pPr>
        <w:pStyle w:val="Heading2"/>
      </w:pPr>
      <w:r>
        <w:t xml:space="preserve">Objetivos</w:t>
      </w:r>
    </w:p>
    <w:p>
      <w:pPr>
        <w:jc w:val="both"/>
      </w:pPr>
      <w:r>
        <w:rPr>
          <w:b/>
          <w:bCs/>
        </w:rPr>
        <w:t xml:space="preserve">Objetivo general:</w:t>
      </w:r>
      <w:r>
        <w:t xml:space="preserve"> asegurar que la plataforma KalliCode sea verificable, reproducible y segura para un entorno multi-tenant, mediante una estrategia de pruebas automatizadas integrada al CI/CD.</w:t>
      </w:r>
    </w:p>
    <w:p>
      <w:pPr>
        <w:jc w:val="both"/>
      </w:pPr>
      <w:r>
        <w:rPr>
          <w:b/>
          <w:bCs/>
        </w:rPr>
        <w:t xml:space="preserve">Objetivos específicos:</w:t>
      </w:r>
    </w:p>
    <w:p>
      <w:pPr>
        <w:pStyle w:val="ListParagraph"/>
        <w:numPr>
          <w:ilvl w:val="0"/>
          <w:numId w:val="2"/>
        </w:numPr>
        <w:spacing w:after="60"/>
        <w:jc w:val="left"/>
      </w:pPr>
      <w:r>
        <w:t xml:space="preserve">Proveer un entorno de pruebas local reproducible y sin dependencia de la nube (Docker, Azurite, stub de LLM).</w:t>
      </w:r>
    </w:p>
    <w:p>
      <w:pPr>
        <w:pStyle w:val="ListParagraph"/>
        <w:numPr>
          <w:ilvl w:val="0"/>
          <w:numId w:val="2"/>
        </w:numPr>
        <w:spacing w:after="60"/>
        <w:jc w:val="left"/>
      </w:pPr>
      <w:r>
        <w:t xml:space="preserve">Verificar automáticamente el aislamiento multi-tenant (RLS) y la seguridad de acceso (JWT, RBAC) en cada pull request.</w:t>
      </w:r>
    </w:p>
    <w:p>
      <w:pPr>
        <w:pStyle w:val="ListParagraph"/>
        <w:numPr>
          <w:ilvl w:val="0"/>
          <w:numId w:val="2"/>
        </w:numPr>
        <w:spacing w:after="60"/>
        <w:jc w:val="left"/>
      </w:pPr>
      <w:r>
        <w:t xml:space="preserve">Validar la integridad del esquema y las migraciones de la base de datos.</w:t>
      </w:r>
    </w:p>
    <w:p>
      <w:pPr>
        <w:pStyle w:val="ListParagraph"/>
        <w:numPr>
          <w:ilvl w:val="0"/>
          <w:numId w:val="2"/>
        </w:numPr>
        <w:spacing w:after="60"/>
        <w:jc w:val="left"/>
      </w:pPr>
      <w:r>
        <w:t xml:space="preserve">Construir el motor de generación de pruebas con IA para la etapa QA del pipeline.</w:t>
      </w:r>
    </w:p>
    <w:p>
      <w:pPr>
        <w:pStyle w:val="ListParagraph"/>
        <w:numPr>
          <w:ilvl w:val="0"/>
          <w:numId w:val="2"/>
        </w:numPr>
        <w:spacing w:after="60"/>
        <w:jc w:val="left"/>
      </w:pPr>
      <w:r>
        <w:t xml:space="preserve">Diseñar e implementar la Consola de Administración con acceso cross-tenant controlado (E6).</w:t>
      </w:r>
    </w:p>
    <w:p>
      <w:pPr>
        <w:jc w:val="both"/>
      </w:pPr>
      <w:r>
        <w:rPr>
          <w:b/>
          <w:bCs/>
        </w:rPr>
        <w:t xml:space="preserve">Ajuste a los objetivos:</w:t>
      </w:r>
      <w:r>
        <w:t xml:space="preserve"> el objetivo general se mantiene. Tras la reorganización del programa (22–24 de septiembre), el foco de pruebas se precisó hacia las </w:t>
      </w:r>
      <w:r>
        <w:rPr>
          <w:b/>
          <w:bCs/>
        </w:rPr>
        <w:t xml:space="preserve">pruebas transversales de la plataforma</w:t>
      </w:r>
      <w:r>
        <w:t xml:space="preserve">, que el Plan de Programa asigna a E5; la etapa QA del producto corresponde ahora a E3. Por recomendación del stakeholder se incorpora como línea prioritaria la automatización de QA con agentes de IA.</w:t>
      </w:r>
    </w:p>
    <w:p>
      <w:pPr>
        <w:pStyle w:val="Heading2"/>
      </w:pPr>
      <w:r>
        <w:t xml:space="preserve">Metodología</w:t>
      </w:r>
    </w:p>
    <w:p>
      <w:pPr>
        <w:jc w:val="both"/>
      </w:pPr>
      <w:r>
        <w:t xml:space="preserve">El programa de Alloxentric usa Scrum con sprints semanales y equipos de cuatro personas. El equipo lo adaptó a su realidad —tres estudiantes que trabajan, cubriendo dos equipos y con calendario académico— con un </w:t>
      </w:r>
      <w:r>
        <w:rPr>
          <w:b/>
          <w:bCs/>
        </w:rPr>
        <w:t xml:space="preserve">modelo híbrido</w:t>
      </w:r>
      <w:r>
        <w:t xml:space="preserve">: backlog priorizado en 8 épicas y estimado en Story Points, planificación en </w:t>
      </w:r>
      <w:r>
        <w:rPr>
          <w:b/>
          <w:bCs/>
        </w:rPr>
        <w:t xml:space="preserve">seis bloques incrementales de dos semanas</w:t>
      </w:r>
      <w:r>
        <w:t xml:space="preserve"> (29-sep a 18-dic) y control del flujo con un </w:t>
      </w:r>
      <w:r>
        <w:rPr>
          <w:b/>
          <w:bCs/>
        </w:rPr>
        <w:t xml:space="preserve">tablero Kanban con límite WIP = 3</w:t>
      </w:r>
      <w:r>
        <w:t xml:space="preserve">. La Definición de Terminado es la del programa y la aplica el CI: un ticket solo se cierra si su pull request pasa escaneo de secretos, análisis estático y de vulnerabilidades, linters, verificación de tipos, reaplicación de migraciones y la suite de pruebas contra PostgreSQL real. Los tickets se gestionan oficialmente en la plataforma CoreStream de Alloxentric.</w:t>
      </w:r>
    </w:p>
    <w:p>
      <w:pPr>
        <w:pStyle w:val="Heading2"/>
      </w:pPr>
      <w:r>
        <w:t xml:space="preserve">Evidencias de avance</w:t>
      </w:r>
    </w:p>
    <w:p>
      <w:pPr>
        <w:jc w:val="both"/>
      </w:pPr>
      <w:r>
        <w:t xml:space="preserve">Todas las evidencias están en Git. En el repositorio de entrega (carpeta fase 2/Evidencias Proyecto):</w:t>
      </w:r>
    </w:p>
    <w:p>
      <w:pPr>
        <w:pStyle w:val="ListParagraph"/>
        <w:numPr>
          <w:ilvl w:val="0"/>
          <w:numId w:val="2"/>
        </w:numPr>
        <w:spacing w:after="60"/>
        <w:jc w:val="left"/>
      </w:pPr>
      <w:r>
        <w:rPr>
          <w:b/>
          <w:bCs/>
        </w:rPr>
        <w:t xml:space="preserve">Documentos de diseño:</w:t>
      </w:r>
      <w:r>
        <w:t xml:space="preserve"> modelo entidad-relación de los esquemas core, cm, vec y audit (6 diagramas), diccionario de datos, diagrama de clases de implementación, casos de uso con trazabilidad a los 87 endpoints de la API y a las pruebas, diagrama de actividades y máquina de estados del pipeline.</w:t>
      </w:r>
    </w:p>
    <w:p>
      <w:pPr>
        <w:pStyle w:val="ListParagraph"/>
        <w:numPr>
          <w:ilvl w:val="0"/>
          <w:numId w:val="2"/>
        </w:numPr>
        <w:spacing w:after="60"/>
        <w:jc w:val="left"/>
      </w:pPr>
      <w:r>
        <w:rPr>
          <w:b/>
          <w:bCs/>
        </w:rPr>
        <w:t xml:space="preserve">Pruebas:</w:t>
      </w:r>
      <w:r>
        <w:t xml:space="preserve"> plan de pruebas, 16 casos de prueba que cubren 46 pruebas automatizadas y resultados de la ejecución completa (62 de 62 aprobadas, commit 3a0a9e6, con reporte JUnit y captura) y hallazgos H-01 a H-08.</w:t>
      </w:r>
    </w:p>
    <w:p>
      <w:pPr>
        <w:pStyle w:val="ListParagraph"/>
        <w:numPr>
          <w:ilvl w:val="0"/>
          <w:numId w:val="2"/>
        </w:numPr>
        <w:spacing w:after="60"/>
        <w:jc w:val="left"/>
      </w:pPr>
      <w:r>
        <w:rPr>
          <w:b/>
          <w:bCs/>
        </w:rPr>
        <w:t xml:space="preserve">Gestión y metodología:</w:t>
      </w:r>
      <w:r>
        <w:t xml:space="preserve"> product backlog, planificación por bloques con avance medido, Kanban, actas de reunión, stakeholders y resolución de conflictos.</w:t>
      </w:r>
    </w:p>
    <w:p>
      <w:pPr>
        <w:pStyle w:val="ListParagraph"/>
        <w:numPr>
          <w:ilvl w:val="0"/>
          <w:numId w:val="2"/>
        </w:numPr>
        <w:spacing w:after="60"/>
        <w:jc w:val="left"/>
      </w:pPr>
      <w:r>
        <w:rPr>
          <w:b/>
          <w:bCs/>
        </w:rPr>
        <w:t xml:space="preserve">Evidencias de sistema:</w:t>
      </w:r>
      <w:r>
        <w:t xml:space="preserve"> Portal Cliente desplegado en Vercel (kallicode-backend.vercel.app) con capturas del tablero y de los tickets, guía de instalación y ejecución, y script DDL consolidado de la base de datos (60 tablas, 32 migraciones versionadas).</w:t>
      </w:r>
    </w:p>
    <w:p>
      <w:pPr>
        <w:jc w:val="both"/>
      </w:pPr>
      <w:r>
        <w:t xml:space="preserve">En el repositorio de código (kallicode-backend): 23 tickets cerrados mediante pull requests aprobados por el CI, entre ellos #91 (eliminación de BYPASSRLS), #92 (suite de aislamiento RLS), #137 (aislamiento de logs entre tenants) y #138 (matriz RBAC).</w:t>
      </w:r>
    </w:p>
    <w:p>
      <w:pPr>
        <w:pStyle w:val="Heading1"/>
      </w:pPr>
      <w:r>
        <w:t xml:space="preserve">2. Monitoreo del Plan de Trabajo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1900"/>
        <w:gridCol w:w="1250"/>
        <w:gridCol w:w="1000"/>
        <w:gridCol w:w="1250"/>
        <w:gridCol w:w="1050"/>
        <w:gridCol w:w="1660"/>
      </w:tblGrid>
      <w:tr>
        <w:trPr>
          <w:tblHeader/>
        </w:trPr>
        <w:tc>
          <w:tcPr>
            <w:tcW w:type="dxa" w:w="1250"/>
            <w:shd w:fill="DBE5F1" w:color="auto" w:val="clear"/>
            <w:tcMar>
              <w:top w:type="dxa" w:w="60"/>
              <w:left w:type="dxa" w:w="80"/>
              <w:bottom w:type="dxa" w:w="60"/>
              <w:right w:type="dxa" w:w="80"/>
            </w:tcMar>
          </w:tcPr>
          <w:p>
            <w:pPr>
              <w:spacing w:after="0"/>
              <w:jc w:val="left"/>
            </w:pPr>
            <w:r>
              <w:rPr>
                <w:b/>
                <w:bCs/>
                <w:sz w:val="17"/>
                <w:szCs w:val="17"/>
              </w:rPr>
              <w:t xml:space="preserve">Competencia</w:t>
            </w:r>
          </w:p>
        </w:tc>
        <w:tc>
          <w:tcPr>
            <w:tcW w:type="dxa" w:w="1900"/>
            <w:shd w:fill="DBE5F1" w:color="auto" w:val="clear"/>
            <w:tcMar>
              <w:top w:type="dxa" w:w="60"/>
              <w:left w:type="dxa" w:w="80"/>
              <w:bottom w:type="dxa" w:w="60"/>
              <w:right w:type="dxa" w:w="80"/>
            </w:tcMar>
          </w:tcPr>
          <w:p>
            <w:pPr>
              <w:spacing w:after="0"/>
              <w:jc w:val="left"/>
            </w:pPr>
            <w:r>
              <w:rPr>
                <w:b/>
                <w:bCs/>
                <w:sz w:val="17"/>
                <w:szCs w:val="17"/>
              </w:rPr>
              <w:t xml:space="preserve">Actividades</w:t>
            </w:r>
          </w:p>
        </w:tc>
        <w:tc>
          <w:tcPr>
            <w:tcW w:type="dxa" w:w="1250"/>
            <w:shd w:fill="DBE5F1" w:color="auto" w:val="clear"/>
            <w:tcMar>
              <w:top w:type="dxa" w:w="60"/>
              <w:left w:type="dxa" w:w="80"/>
              <w:bottom w:type="dxa" w:w="60"/>
              <w:right w:type="dxa" w:w="80"/>
            </w:tcMar>
          </w:tcPr>
          <w:p>
            <w:pPr>
              <w:spacing w:after="0"/>
              <w:jc w:val="left"/>
            </w:pPr>
            <w:r>
              <w:rPr>
                <w:b/>
                <w:bCs/>
                <w:sz w:val="17"/>
                <w:szCs w:val="17"/>
              </w:rPr>
              <w:t xml:space="preserve">Recursos</w:t>
            </w:r>
          </w:p>
        </w:tc>
        <w:tc>
          <w:tcPr>
            <w:tcW w:type="dxa" w:w="1000"/>
            <w:shd w:fill="DBE5F1" w:color="auto" w:val="clear"/>
            <w:tcMar>
              <w:top w:type="dxa" w:w="60"/>
              <w:left w:type="dxa" w:w="80"/>
              <w:bottom w:type="dxa" w:w="60"/>
              <w:right w:type="dxa" w:w="80"/>
            </w:tcMar>
          </w:tcPr>
          <w:p>
            <w:pPr>
              <w:spacing w:after="0"/>
              <w:jc w:val="left"/>
            </w:pPr>
            <w:r>
              <w:rPr>
                <w:b/>
                <w:bCs/>
                <w:sz w:val="17"/>
                <w:szCs w:val="17"/>
              </w:rPr>
              <w:t xml:space="preserve">Duración</w:t>
            </w:r>
          </w:p>
        </w:tc>
        <w:tc>
          <w:tcPr>
            <w:tcW w:type="dxa" w:w="1250"/>
            <w:shd w:fill="DBE5F1" w:color="auto" w:val="clear"/>
            <w:tcMar>
              <w:top w:type="dxa" w:w="60"/>
              <w:left w:type="dxa" w:w="80"/>
              <w:bottom w:type="dxa" w:w="60"/>
              <w:right w:type="dxa" w:w="80"/>
            </w:tcMar>
          </w:tcPr>
          <w:p>
            <w:pPr>
              <w:spacing w:after="0"/>
              <w:jc w:val="left"/>
            </w:pPr>
            <w:r>
              <w:rPr>
                <w:b/>
                <w:bCs/>
                <w:sz w:val="17"/>
                <w:szCs w:val="17"/>
              </w:rPr>
              <w:t xml:space="preserve">Responsable</w:t>
            </w:r>
          </w:p>
        </w:tc>
        <w:tc>
          <w:tcPr>
            <w:tcW w:type="dxa" w:w="1050"/>
            <w:shd w:fill="DBE5F1" w:color="auto" w:val="clear"/>
            <w:tcMar>
              <w:top w:type="dxa" w:w="60"/>
              <w:left w:type="dxa" w:w="80"/>
              <w:bottom w:type="dxa" w:w="60"/>
              <w:right w:type="dxa" w:w="80"/>
            </w:tcMar>
          </w:tcPr>
          <w:p>
            <w:pPr>
              <w:spacing w:after="0"/>
              <w:jc w:val="left"/>
            </w:pPr>
            <w:r>
              <w:rPr>
                <w:b/>
                <w:bCs/>
                <w:sz w:val="17"/>
                <w:szCs w:val="17"/>
              </w:rPr>
              <w:t xml:space="preserve">Estado</w:t>
            </w:r>
          </w:p>
        </w:tc>
        <w:tc>
          <w:tcPr>
            <w:tcW w:type="dxa" w:w="1660"/>
            <w:shd w:fill="DBE5F1" w:color="auto" w:val="clear"/>
            <w:tcMar>
              <w:top w:type="dxa" w:w="60"/>
              <w:left w:type="dxa" w:w="80"/>
              <w:bottom w:type="dxa" w:w="60"/>
              <w:right w:type="dxa" w:w="80"/>
            </w:tcMar>
          </w:tcPr>
          <w:p>
            <w:pPr>
              <w:spacing w:after="0"/>
              <w:jc w:val="left"/>
            </w:pPr>
            <w:r>
              <w:rPr>
                <w:b/>
                <w:bCs/>
                <w:sz w:val="17"/>
                <w:szCs w:val="17"/>
              </w:rPr>
              <w:t xml:space="preserve">Ajustes</w:t>
            </w:r>
          </w:p>
        </w:tc>
      </w:tr>
      <w:tr>
        <w:tc>
          <w:tcPr>
            <w:tcW w:type="dxa" w:w="1250"/>
            <w:tcMar>
              <w:top w:type="dxa" w:w="60"/>
              <w:left w:type="dxa" w:w="80"/>
              <w:bottom w:type="dxa" w:w="60"/>
              <w:right w:type="dxa" w:w="80"/>
            </w:tcMar>
          </w:tcPr>
          <w:p>
            <w:pPr>
              <w:spacing w:after="0"/>
              <w:jc w:val="left"/>
            </w:pPr>
            <w:r>
              <w:rPr>
                <w:b w:val="false"/>
                <w:bCs w:val="false"/>
                <w:sz w:val="17"/>
                <w:szCs w:val="17"/>
              </w:rPr>
              <w:t xml:space="preserve">Realizar pruebas de certificación (diseñar y aplicar)</w:t>
            </w:r>
          </w:p>
        </w:tc>
        <w:tc>
          <w:tcPr>
            <w:tcW w:type="dxa" w:w="1900"/>
            <w:tcMar>
              <w:top w:type="dxa" w:w="60"/>
              <w:left w:type="dxa" w:w="80"/>
              <w:bottom w:type="dxa" w:w="60"/>
              <w:right w:type="dxa" w:w="80"/>
            </w:tcMar>
          </w:tcPr>
          <w:p>
            <w:pPr>
              <w:spacing w:after="0"/>
              <w:jc w:val="left"/>
            </w:pPr>
            <w:r>
              <w:rPr>
                <w:b w:val="false"/>
                <w:bCs w:val="false"/>
                <w:sz w:val="17"/>
                <w:szCs w:val="17"/>
              </w:rPr>
              <w:t xml:space="preserve">Bloque 1: entorno de pruebas cero-nube, CI unificado, fixtures con SAVEPOINT, stub LLM, logger JSON (12 tickets)</w:t>
            </w:r>
          </w:p>
        </w:tc>
        <w:tc>
          <w:tcPr>
            <w:tcW w:type="dxa" w:w="1250"/>
            <w:tcMar>
              <w:top w:type="dxa" w:w="60"/>
              <w:left w:type="dxa" w:w="80"/>
              <w:bottom w:type="dxa" w:w="60"/>
              <w:right w:type="dxa" w:w="80"/>
            </w:tcMar>
          </w:tcPr>
          <w:p>
            <w:pPr>
              <w:spacing w:after="0"/>
              <w:jc w:val="left"/>
            </w:pPr>
            <w:r>
              <w:rPr>
                <w:b w:val="false"/>
                <w:bCs w:val="false"/>
                <w:sz w:val="17"/>
                <w:szCs w:val="17"/>
              </w:rPr>
              <w:t xml:space="preserve">Docker Compose, GitHub Actions, pytest, Azurite</w:t>
            </w:r>
          </w:p>
        </w:tc>
        <w:tc>
          <w:tcPr>
            <w:tcW w:type="dxa" w:w="1000"/>
            <w:tcMar>
              <w:top w:type="dxa" w:w="60"/>
              <w:left w:type="dxa" w:w="80"/>
              <w:bottom w:type="dxa" w:w="60"/>
              <w:right w:type="dxa" w:w="80"/>
            </w:tcMar>
          </w:tcPr>
          <w:p>
            <w:pPr>
              <w:spacing w:after="0"/>
              <w:jc w:val="left"/>
            </w:pPr>
            <w:r>
              <w:rPr>
                <w:b w:val="false"/>
                <w:bCs w:val="false"/>
                <w:sz w:val="17"/>
                <w:szCs w:val="17"/>
              </w:rPr>
              <w:t xml:space="preserve">29-sep a 09-oct</w:t>
            </w:r>
          </w:p>
        </w:tc>
        <w:tc>
          <w:tcPr>
            <w:tcW w:type="dxa" w:w="1250"/>
            <w:tcMar>
              <w:top w:type="dxa" w:w="60"/>
              <w:left w:type="dxa" w:w="80"/>
              <w:bottom w:type="dxa" w:w="60"/>
              <w:right w:type="dxa" w:w="80"/>
            </w:tcMar>
          </w:tcPr>
          <w:p>
            <w:pPr>
              <w:spacing w:after="0"/>
              <w:jc w:val="left"/>
            </w:pPr>
            <w:r>
              <w:rPr>
                <w:b w:val="false"/>
                <w:bCs w:val="false"/>
                <w:sz w:val="17"/>
                <w:szCs w:val="17"/>
              </w:rPr>
              <w:t xml:space="preserve">QA1, QA2, QA3 (integración en el repositorio: A. González)</w:t>
            </w:r>
          </w:p>
        </w:tc>
        <w:tc>
          <w:tcPr>
            <w:tcW w:type="dxa" w:w="1050"/>
            <w:tcMar>
              <w:top w:type="dxa" w:w="60"/>
              <w:left w:type="dxa" w:w="80"/>
              <w:bottom w:type="dxa" w:w="60"/>
              <w:right w:type="dxa" w:w="80"/>
            </w:tcMar>
          </w:tcPr>
          <w:p>
            <w:pPr>
              <w:spacing w:after="0"/>
              <w:jc w:val="left"/>
            </w:pPr>
            <w:r>
              <w:rPr>
                <w:b w:val="false"/>
                <w:bCs w:val="false"/>
                <w:sz w:val="17"/>
                <w:szCs w:val="17"/>
              </w:rPr>
              <w:t xml:space="preserve">Completado</w:t>
            </w:r>
          </w:p>
        </w:tc>
        <w:tc>
          <w:tcPr>
            <w:tcW w:type="dxa" w:w="1660"/>
            <w:tcMar>
              <w:top w:type="dxa" w:w="60"/>
              <w:left w:type="dxa" w:w="80"/>
              <w:bottom w:type="dxa" w:w="60"/>
              <w:right w:type="dxa" w:w="80"/>
            </w:tcMar>
          </w:tcPr>
          <w:p>
            <w:pPr>
              <w:spacing w:after="0"/>
              <w:jc w:val="left"/>
            </w:pPr>
            <w:r>
              <w:rPr>
                <w:b w:val="false"/>
                <w:bCs w:val="false"/>
                <w:sz w:val="17"/>
                <w:szCs w:val="17"/>
              </w:rPr>
              <w:t xml:space="preserve">Sin ajustes</w:t>
            </w:r>
          </w:p>
        </w:tc>
      </w:tr>
      <w:tr>
        <w:tc>
          <w:tcPr>
            <w:tcW w:type="dxa" w:w="1250"/>
            <w:tcMar>
              <w:top w:type="dxa" w:w="60"/>
              <w:left w:type="dxa" w:w="80"/>
              <w:bottom w:type="dxa" w:w="60"/>
              <w:right w:type="dxa" w:w="80"/>
            </w:tcMar>
          </w:tcPr>
          <w:p>
            <w:pPr>
              <w:spacing w:after="0"/>
              <w:jc w:val="left"/>
            </w:pPr>
            <w:r>
              <w:rPr>
                <w:b w:val="false"/>
                <w:bCs w:val="false"/>
                <w:sz w:val="17"/>
                <w:szCs w:val="17"/>
              </w:rPr>
              <w:t xml:space="preserve">Realizar pruebas de certificación (diseñar y aplicar)</w:t>
            </w:r>
          </w:p>
        </w:tc>
        <w:tc>
          <w:tcPr>
            <w:tcW w:type="dxa" w:w="1900"/>
            <w:tcMar>
              <w:top w:type="dxa" w:w="60"/>
              <w:left w:type="dxa" w:w="80"/>
              <w:bottom w:type="dxa" w:w="60"/>
              <w:right w:type="dxa" w:w="80"/>
            </w:tcMar>
          </w:tcPr>
          <w:p>
            <w:pPr>
              <w:spacing w:after="0"/>
              <w:jc w:val="left"/>
            </w:pPr>
            <w:r>
              <w:rPr>
                <w:b w:val="false"/>
                <w:bCs w:val="false"/>
                <w:sz w:val="17"/>
                <w:szCs w:val="17"/>
              </w:rPr>
              <w:t xml:space="preserve">Bloque 2: suites de aislamiento RLS, roles BD, JWT, RBAC, secretos, migraciones, logs por tenant (11 tickets)</w:t>
            </w:r>
          </w:p>
        </w:tc>
        <w:tc>
          <w:tcPr>
            <w:tcW w:type="dxa" w:w="1250"/>
            <w:tcMar>
              <w:top w:type="dxa" w:w="60"/>
              <w:left w:type="dxa" w:w="80"/>
              <w:bottom w:type="dxa" w:w="60"/>
              <w:right w:type="dxa" w:w="80"/>
            </w:tcMar>
          </w:tcPr>
          <w:p>
            <w:pPr>
              <w:spacing w:after="0"/>
              <w:jc w:val="left"/>
            </w:pPr>
            <w:r>
              <w:rPr>
                <w:b w:val="false"/>
                <w:bCs w:val="false"/>
                <w:sz w:val="17"/>
                <w:szCs w:val="17"/>
              </w:rPr>
              <w:t xml:space="preserve">PostgreSQL 16, pgvector, pytest, Redis</w:t>
            </w:r>
          </w:p>
        </w:tc>
        <w:tc>
          <w:tcPr>
            <w:tcW w:type="dxa" w:w="1000"/>
            <w:tcMar>
              <w:top w:type="dxa" w:w="60"/>
              <w:left w:type="dxa" w:w="80"/>
              <w:bottom w:type="dxa" w:w="60"/>
              <w:right w:type="dxa" w:w="80"/>
            </w:tcMar>
          </w:tcPr>
          <w:p>
            <w:pPr>
              <w:spacing w:after="0"/>
              <w:jc w:val="left"/>
            </w:pPr>
            <w:r>
              <w:rPr>
                <w:b w:val="false"/>
                <w:bCs w:val="false"/>
                <w:sz w:val="17"/>
                <w:szCs w:val="17"/>
              </w:rPr>
              <w:t xml:space="preserve">12-oct a 23-oct</w:t>
            </w:r>
          </w:p>
        </w:tc>
        <w:tc>
          <w:tcPr>
            <w:tcW w:type="dxa" w:w="1250"/>
            <w:tcMar>
              <w:top w:type="dxa" w:w="60"/>
              <w:left w:type="dxa" w:w="80"/>
              <w:bottom w:type="dxa" w:w="60"/>
              <w:right w:type="dxa" w:w="80"/>
            </w:tcMar>
          </w:tcPr>
          <w:p>
            <w:pPr>
              <w:spacing w:after="0"/>
              <w:jc w:val="left"/>
            </w:pPr>
            <w:r>
              <w:rPr>
                <w:b w:val="false"/>
                <w:bCs w:val="false"/>
                <w:sz w:val="17"/>
                <w:szCs w:val="17"/>
              </w:rPr>
              <w:t xml:space="preserve">QA2 (integración en el repositorio: A. González)</w:t>
            </w:r>
          </w:p>
        </w:tc>
        <w:tc>
          <w:tcPr>
            <w:tcW w:type="dxa" w:w="1050"/>
            <w:tcMar>
              <w:top w:type="dxa" w:w="60"/>
              <w:left w:type="dxa" w:w="80"/>
              <w:bottom w:type="dxa" w:w="60"/>
              <w:right w:type="dxa" w:w="80"/>
            </w:tcMar>
          </w:tcPr>
          <w:p>
            <w:pPr>
              <w:spacing w:after="0"/>
              <w:jc w:val="left"/>
            </w:pPr>
            <w:r>
              <w:rPr>
                <w:b w:val="false"/>
                <w:bCs w:val="false"/>
                <w:sz w:val="17"/>
                <w:szCs w:val="17"/>
              </w:rPr>
              <w:t xml:space="preserve">Completado</w:t>
            </w:r>
          </w:p>
        </w:tc>
        <w:tc>
          <w:tcPr>
            <w:tcW w:type="dxa" w:w="1660"/>
            <w:tcMar>
              <w:top w:type="dxa" w:w="60"/>
              <w:left w:type="dxa" w:w="80"/>
              <w:bottom w:type="dxa" w:w="60"/>
              <w:right w:type="dxa" w:w="80"/>
            </w:tcMar>
          </w:tcPr>
          <w:p>
            <w:pPr>
              <w:spacing w:after="0"/>
              <w:jc w:val="left"/>
            </w:pPr>
            <w:r>
              <w:rPr>
                <w:b w:val="false"/>
                <w:bCs w:val="false"/>
                <w:sz w:val="17"/>
                <w:szCs w:val="17"/>
              </w:rPr>
              <w:t xml:space="preserve">Se cerró antes del fin de su ventana</w:t>
            </w:r>
          </w:p>
        </w:tc>
      </w:tr>
      <w:tr>
        <w:tc>
          <w:tcPr>
            <w:tcW w:type="dxa" w:w="1250"/>
            <w:tcMar>
              <w:top w:type="dxa" w:w="60"/>
              <w:left w:type="dxa" w:w="80"/>
              <w:bottom w:type="dxa" w:w="60"/>
              <w:right w:type="dxa" w:w="80"/>
            </w:tcMar>
          </w:tcPr>
          <w:p>
            <w:pPr>
              <w:spacing w:after="0"/>
              <w:jc w:val="left"/>
            </w:pPr>
            <w:r>
              <w:rPr>
                <w:b w:val="false"/>
                <w:bCs w:val="false"/>
                <w:sz w:val="17"/>
                <w:szCs w:val="17"/>
              </w:rPr>
              <w:t xml:space="preserve">Realizar pruebas (desarrollar mejoras según resultados)</w:t>
            </w:r>
          </w:p>
        </w:tc>
        <w:tc>
          <w:tcPr>
            <w:tcW w:type="dxa" w:w="1900"/>
            <w:tcMar>
              <w:top w:type="dxa" w:w="60"/>
              <w:left w:type="dxa" w:w="80"/>
              <w:bottom w:type="dxa" w:w="60"/>
              <w:right w:type="dxa" w:w="80"/>
            </w:tcMar>
          </w:tcPr>
          <w:p>
            <w:pPr>
              <w:spacing w:after="0"/>
              <w:jc w:val="left"/>
            </w:pPr>
            <w:r>
              <w:rPr>
                <w:b w:val="false"/>
                <w:bCs w:val="false"/>
                <w:sz w:val="17"/>
                <w:szCs w:val="17"/>
              </w:rPr>
              <w:t xml:space="preserve">Plan, casos y resultados de pruebas; análisis estático y registro de hallazgos H-01 a H-08</w:t>
            </w:r>
          </w:p>
        </w:tc>
        <w:tc>
          <w:tcPr>
            <w:tcW w:type="dxa" w:w="1250"/>
            <w:tcMar>
              <w:top w:type="dxa" w:w="60"/>
              <w:left w:type="dxa" w:w="80"/>
              <w:bottom w:type="dxa" w:w="60"/>
              <w:right w:type="dxa" w:w="80"/>
            </w:tcMar>
          </w:tcPr>
          <w:p>
            <w:pPr>
              <w:spacing w:after="0"/>
              <w:jc w:val="left"/>
            </w:pPr>
            <w:r>
              <w:rPr>
                <w:b w:val="false"/>
                <w:bCs w:val="false"/>
                <w:sz w:val="17"/>
                <w:szCs w:val="17"/>
              </w:rPr>
              <w:t xml:space="preserve">pytest, cobertura, análisis del código fuente</w:t>
            </w:r>
          </w:p>
        </w:tc>
        <w:tc>
          <w:tcPr>
            <w:tcW w:type="dxa" w:w="1000"/>
            <w:tcMar>
              <w:top w:type="dxa" w:w="60"/>
              <w:left w:type="dxa" w:w="80"/>
              <w:bottom w:type="dxa" w:w="60"/>
              <w:right w:type="dxa" w:w="80"/>
            </w:tcMar>
          </w:tcPr>
          <w:p>
            <w:pPr>
              <w:spacing w:after="0"/>
              <w:jc w:val="left"/>
            </w:pPr>
            <w:r>
              <w:rPr>
                <w:b w:val="false"/>
                <w:bCs w:val="false"/>
                <w:sz w:val="17"/>
                <w:szCs w:val="17"/>
              </w:rPr>
              <w:t xml:space="preserve">27-oct a 30-oct</w:t>
            </w:r>
          </w:p>
        </w:tc>
        <w:tc>
          <w:tcPr>
            <w:tcW w:type="dxa" w:w="1250"/>
            <w:tcMar>
              <w:top w:type="dxa" w:w="60"/>
              <w:left w:type="dxa" w:w="80"/>
              <w:bottom w:type="dxa" w:w="60"/>
              <w:right w:type="dxa" w:w="80"/>
            </w:tcMar>
          </w:tcPr>
          <w:p>
            <w:pPr>
              <w:spacing w:after="0"/>
              <w:jc w:val="left"/>
            </w:pPr>
            <w:r>
              <w:rPr>
                <w:b w:val="false"/>
                <w:bCs w:val="false"/>
                <w:sz w:val="17"/>
                <w:szCs w:val="17"/>
              </w:rPr>
              <w:t xml:space="preserve">Luis Ibáñez</w:t>
            </w:r>
          </w:p>
        </w:tc>
        <w:tc>
          <w:tcPr>
            <w:tcW w:type="dxa" w:w="1050"/>
            <w:tcMar>
              <w:top w:type="dxa" w:w="60"/>
              <w:left w:type="dxa" w:w="80"/>
              <w:bottom w:type="dxa" w:w="60"/>
              <w:right w:type="dxa" w:w="80"/>
            </w:tcMar>
          </w:tcPr>
          <w:p>
            <w:pPr>
              <w:spacing w:after="0"/>
              <w:jc w:val="left"/>
            </w:pPr>
            <w:r>
              <w:rPr>
                <w:b w:val="false"/>
                <w:bCs w:val="false"/>
                <w:sz w:val="17"/>
                <w:szCs w:val="17"/>
              </w:rPr>
              <w:t xml:space="preserve">Completado</w:t>
            </w:r>
          </w:p>
        </w:tc>
        <w:tc>
          <w:tcPr>
            <w:tcW w:type="dxa" w:w="1660"/>
            <w:tcMar>
              <w:top w:type="dxa" w:w="60"/>
              <w:left w:type="dxa" w:w="80"/>
              <w:bottom w:type="dxa" w:w="60"/>
              <w:right w:type="dxa" w:w="80"/>
            </w:tcMar>
          </w:tcPr>
          <w:p>
            <w:pPr>
              <w:spacing w:after="0"/>
              <w:jc w:val="left"/>
            </w:pPr>
            <w:r>
              <w:rPr>
                <w:b w:val="false"/>
                <w:bCs w:val="false"/>
                <w:sz w:val="17"/>
                <w:szCs w:val="17"/>
              </w:rPr>
              <w:t xml:space="preserve">Ejecución E-02: 62/62 aprobadas, cobertura 89,7 %</w:t>
            </w:r>
          </w:p>
        </w:tc>
      </w:tr>
      <w:tr>
        <w:tc>
          <w:tcPr>
            <w:tcW w:type="dxa" w:w="1250"/>
            <w:tcMar>
              <w:top w:type="dxa" w:w="60"/>
              <w:left w:type="dxa" w:w="80"/>
              <w:bottom w:type="dxa" w:w="60"/>
              <w:right w:type="dxa" w:w="80"/>
            </w:tcMar>
          </w:tcPr>
          <w:p>
            <w:pPr>
              <w:spacing w:after="0"/>
              <w:jc w:val="left"/>
            </w:pPr>
            <w:r>
              <w:rPr>
                <w:b w:val="false"/>
                <w:bCs w:val="false"/>
                <w:sz w:val="17"/>
                <w:szCs w:val="17"/>
              </w:rPr>
              <w:t xml:space="preserve">Construir modelos de datos</w:t>
            </w:r>
          </w:p>
        </w:tc>
        <w:tc>
          <w:tcPr>
            <w:tcW w:type="dxa" w:w="1900"/>
            <w:tcMar>
              <w:top w:type="dxa" w:w="60"/>
              <w:left w:type="dxa" w:w="80"/>
              <w:bottom w:type="dxa" w:w="60"/>
              <w:right w:type="dxa" w:w="80"/>
            </w:tcMar>
          </w:tcPr>
          <w:p>
            <w:pPr>
              <w:spacing w:after="0"/>
              <w:jc w:val="left"/>
            </w:pPr>
            <w:r>
              <w:rPr>
                <w:b w:val="false"/>
                <w:bCs w:val="false"/>
                <w:sz w:val="17"/>
                <w:szCs w:val="17"/>
              </w:rPr>
              <w:t xml:space="preserve">Reconstrucción del MER desde la base real (60 tablas) y diccionario de datos</w:t>
            </w:r>
          </w:p>
        </w:tc>
        <w:tc>
          <w:tcPr>
            <w:tcW w:type="dxa" w:w="1250"/>
            <w:tcMar>
              <w:top w:type="dxa" w:w="60"/>
              <w:left w:type="dxa" w:w="80"/>
              <w:bottom w:type="dxa" w:w="60"/>
              <w:right w:type="dxa" w:w="80"/>
            </w:tcMar>
          </w:tcPr>
          <w:p>
            <w:pPr>
              <w:spacing w:after="0"/>
              <w:jc w:val="left"/>
            </w:pPr>
            <w:r>
              <w:rPr>
                <w:b w:val="false"/>
                <w:bCs w:val="false"/>
                <w:sz w:val="17"/>
                <w:szCs w:val="17"/>
              </w:rPr>
              <w:t xml:space="preserve">PostgreSQL 16, Mermaid</w:t>
            </w:r>
          </w:p>
        </w:tc>
        <w:tc>
          <w:tcPr>
            <w:tcW w:type="dxa" w:w="1000"/>
            <w:tcMar>
              <w:top w:type="dxa" w:w="60"/>
              <w:left w:type="dxa" w:w="80"/>
              <w:bottom w:type="dxa" w:w="60"/>
              <w:right w:type="dxa" w:w="80"/>
            </w:tcMar>
          </w:tcPr>
          <w:p>
            <w:pPr>
              <w:spacing w:after="0"/>
              <w:jc w:val="left"/>
            </w:pPr>
            <w:r>
              <w:rPr>
                <w:b w:val="false"/>
                <w:bCs w:val="false"/>
                <w:sz w:val="17"/>
                <w:szCs w:val="17"/>
              </w:rPr>
              <w:t xml:space="preserve">28-oct</w:t>
            </w:r>
          </w:p>
        </w:tc>
        <w:tc>
          <w:tcPr>
            <w:tcW w:type="dxa" w:w="1250"/>
            <w:tcMar>
              <w:top w:type="dxa" w:w="60"/>
              <w:left w:type="dxa" w:w="80"/>
              <w:bottom w:type="dxa" w:w="60"/>
              <w:right w:type="dxa" w:w="80"/>
            </w:tcMar>
          </w:tcPr>
          <w:p>
            <w:pPr>
              <w:spacing w:after="0"/>
              <w:jc w:val="left"/>
            </w:pPr>
            <w:r>
              <w:rPr>
                <w:b w:val="false"/>
                <w:bCs w:val="false"/>
                <w:sz w:val="17"/>
                <w:szCs w:val="17"/>
              </w:rPr>
              <w:t xml:space="preserve">Luis Ibáñez</w:t>
            </w:r>
          </w:p>
        </w:tc>
        <w:tc>
          <w:tcPr>
            <w:tcW w:type="dxa" w:w="1050"/>
            <w:tcMar>
              <w:top w:type="dxa" w:w="60"/>
              <w:left w:type="dxa" w:w="80"/>
              <w:bottom w:type="dxa" w:w="60"/>
              <w:right w:type="dxa" w:w="80"/>
            </w:tcMar>
          </w:tcPr>
          <w:p>
            <w:pPr>
              <w:spacing w:after="0"/>
              <w:jc w:val="left"/>
            </w:pPr>
            <w:r>
              <w:rPr>
                <w:b w:val="false"/>
                <w:bCs w:val="false"/>
                <w:sz w:val="17"/>
                <w:szCs w:val="17"/>
              </w:rPr>
              <w:t xml:space="preserve">Completado</w:t>
            </w:r>
          </w:p>
        </w:tc>
        <w:tc>
          <w:tcPr>
            <w:tcW w:type="dxa" w:w="1660"/>
            <w:tcMar>
              <w:top w:type="dxa" w:w="60"/>
              <w:left w:type="dxa" w:w="80"/>
              <w:bottom w:type="dxa" w:w="60"/>
              <w:right w:type="dxa" w:w="80"/>
            </w:tcMar>
          </w:tcPr>
          <w:p>
            <w:pPr>
              <w:spacing w:after="0"/>
              <w:jc w:val="left"/>
            </w:pPr>
            <w:r>
              <w:rPr>
                <w:b w:val="false"/>
                <w:bCs w:val="false"/>
                <w:sz w:val="17"/>
                <w:szCs w:val="17"/>
              </w:rPr>
              <w:t xml:space="preserve">El MER anterior modelaba 27 tablas; se completó</w:t>
            </w:r>
          </w:p>
        </w:tc>
      </w:tr>
      <w:tr>
        <w:tc>
          <w:tcPr>
            <w:tcW w:type="dxa" w:w="1250"/>
            <w:tcMar>
              <w:top w:type="dxa" w:w="60"/>
              <w:left w:type="dxa" w:w="80"/>
              <w:bottom w:type="dxa" w:w="60"/>
              <w:right w:type="dxa" w:w="80"/>
            </w:tcMar>
          </w:tcPr>
          <w:p>
            <w:pPr>
              <w:spacing w:after="0"/>
              <w:jc w:val="left"/>
            </w:pPr>
            <w:r>
              <w:rPr>
                <w:b w:val="false"/>
                <w:bCs w:val="false"/>
                <w:sz w:val="17"/>
                <w:szCs w:val="17"/>
              </w:rPr>
              <w:t xml:space="preserve">Desarrollar una solución de software</w:t>
            </w:r>
          </w:p>
        </w:tc>
        <w:tc>
          <w:tcPr>
            <w:tcW w:type="dxa" w:w="1900"/>
            <w:tcMar>
              <w:top w:type="dxa" w:w="60"/>
              <w:left w:type="dxa" w:w="80"/>
              <w:bottom w:type="dxa" w:w="60"/>
              <w:right w:type="dxa" w:w="80"/>
            </w:tcMar>
          </w:tcPr>
          <w:p>
            <w:pPr>
              <w:spacing w:after="0"/>
              <w:jc w:val="left"/>
            </w:pPr>
            <w:r>
              <w:rPr>
                <w:b w:val="false"/>
                <w:bCs w:val="false"/>
                <w:sz w:val="17"/>
                <w:szCs w:val="17"/>
              </w:rPr>
              <w:t xml:space="preserve">Bloque 3: motor de generación de pruebas con IA y fixtures sintéticos (13 tickets)</w:t>
            </w:r>
          </w:p>
        </w:tc>
        <w:tc>
          <w:tcPr>
            <w:tcW w:type="dxa" w:w="1250"/>
            <w:tcMar>
              <w:top w:type="dxa" w:w="60"/>
              <w:left w:type="dxa" w:w="80"/>
              <w:bottom w:type="dxa" w:w="60"/>
              <w:right w:type="dxa" w:w="80"/>
            </w:tcMar>
          </w:tcPr>
          <w:p>
            <w:pPr>
              <w:spacing w:after="0"/>
              <w:jc w:val="left"/>
            </w:pPr>
            <w:r>
              <w:rPr>
                <w:b w:val="false"/>
                <w:bCs w:val="false"/>
                <w:sz w:val="17"/>
                <w:szCs w:val="17"/>
              </w:rPr>
              <w:t xml:space="preserve">Python, LLM stub, CodeMapping</w:t>
            </w:r>
          </w:p>
        </w:tc>
        <w:tc>
          <w:tcPr>
            <w:tcW w:type="dxa" w:w="1000"/>
            <w:tcMar>
              <w:top w:type="dxa" w:w="60"/>
              <w:left w:type="dxa" w:w="80"/>
              <w:bottom w:type="dxa" w:w="60"/>
              <w:right w:type="dxa" w:w="80"/>
            </w:tcMar>
          </w:tcPr>
          <w:p>
            <w:pPr>
              <w:spacing w:after="0"/>
              <w:jc w:val="left"/>
            </w:pPr>
            <w:r>
              <w:rPr>
                <w:b w:val="false"/>
                <w:bCs w:val="false"/>
                <w:sz w:val="17"/>
                <w:szCs w:val="17"/>
              </w:rPr>
              <w:t xml:space="preserve">26-oct a 06-nov</w:t>
            </w:r>
          </w:p>
        </w:tc>
        <w:tc>
          <w:tcPr>
            <w:tcW w:type="dxa" w:w="1250"/>
            <w:tcMar>
              <w:top w:type="dxa" w:w="60"/>
              <w:left w:type="dxa" w:w="80"/>
              <w:bottom w:type="dxa" w:w="60"/>
              <w:right w:type="dxa" w:w="80"/>
            </w:tcMar>
          </w:tcPr>
          <w:p>
            <w:pPr>
              <w:spacing w:after="0"/>
              <w:jc w:val="left"/>
            </w:pPr>
            <w:r>
              <w:rPr>
                <w:b w:val="false"/>
                <w:bCs w:val="false"/>
                <w:sz w:val="17"/>
                <w:szCs w:val="17"/>
              </w:rPr>
              <w:t xml:space="preserve">QA3, QA2</w:t>
            </w:r>
          </w:p>
        </w:tc>
        <w:tc>
          <w:tcPr>
            <w:tcW w:type="dxa" w:w="1050"/>
            <w:tcMar>
              <w:top w:type="dxa" w:w="60"/>
              <w:left w:type="dxa" w:w="80"/>
              <w:bottom w:type="dxa" w:w="60"/>
              <w:right w:type="dxa" w:w="80"/>
            </w:tcMar>
          </w:tcPr>
          <w:p>
            <w:pPr>
              <w:spacing w:after="0"/>
              <w:jc w:val="left"/>
            </w:pPr>
            <w:r>
              <w:rPr>
                <w:b w:val="false"/>
                <w:bCs w:val="false"/>
                <w:sz w:val="17"/>
                <w:szCs w:val="17"/>
              </w:rPr>
              <w:t xml:space="preserve">En curso (0/13)</w:t>
            </w:r>
          </w:p>
        </w:tc>
        <w:tc>
          <w:tcPr>
            <w:tcW w:type="dxa" w:w="1660"/>
            <w:tcMar>
              <w:top w:type="dxa" w:w="60"/>
              <w:left w:type="dxa" w:w="80"/>
              <w:bottom w:type="dxa" w:w="60"/>
              <w:right w:type="dxa" w:w="80"/>
            </w:tcMar>
          </w:tcPr>
          <w:p>
            <w:pPr>
              <w:spacing w:after="0"/>
              <w:jc w:val="left"/>
            </w:pPr>
            <w:r>
              <w:rPr>
                <w:b w:val="false"/>
                <w:bCs w:val="false"/>
                <w:sz w:val="17"/>
                <w:szCs w:val="17"/>
              </w:rPr>
              <w:t xml:space="preserve">Prioridad del stakeholder: QA con agentes de IA</w:t>
            </w:r>
          </w:p>
        </w:tc>
      </w:tr>
      <w:tr>
        <w:tc>
          <w:tcPr>
            <w:tcW w:type="dxa" w:w="1250"/>
            <w:tcMar>
              <w:top w:type="dxa" w:w="60"/>
              <w:left w:type="dxa" w:w="80"/>
              <w:bottom w:type="dxa" w:w="60"/>
              <w:right w:type="dxa" w:w="80"/>
            </w:tcMar>
          </w:tcPr>
          <w:p>
            <w:pPr>
              <w:spacing w:after="0"/>
              <w:jc w:val="left"/>
            </w:pPr>
            <w:r>
              <w:rPr>
                <w:b w:val="false"/>
                <w:bCs w:val="false"/>
                <w:sz w:val="17"/>
                <w:szCs w:val="17"/>
              </w:rPr>
              <w:t xml:space="preserve">Desarrollar una solución de software</w:t>
            </w:r>
          </w:p>
        </w:tc>
        <w:tc>
          <w:tcPr>
            <w:tcW w:type="dxa" w:w="1900"/>
            <w:tcMar>
              <w:top w:type="dxa" w:w="60"/>
              <w:left w:type="dxa" w:w="80"/>
              <w:bottom w:type="dxa" w:w="60"/>
              <w:right w:type="dxa" w:w="80"/>
            </w:tcMar>
          </w:tcPr>
          <w:p>
            <w:pPr>
              <w:spacing w:after="0"/>
              <w:jc w:val="left"/>
            </w:pPr>
            <w:r>
              <w:rPr>
                <w:b w:val="false"/>
                <w:bCs w:val="false"/>
                <w:sz w:val="17"/>
                <w:szCs w:val="17"/>
              </w:rPr>
              <w:t xml:space="preserve">Consola de Administración E6 (API /admin/v1, identidad de personal, 7 pantallas)</w:t>
            </w:r>
          </w:p>
        </w:tc>
        <w:tc>
          <w:tcPr>
            <w:tcW w:type="dxa" w:w="1250"/>
            <w:tcMar>
              <w:top w:type="dxa" w:w="60"/>
              <w:left w:type="dxa" w:w="80"/>
              <w:bottom w:type="dxa" w:w="60"/>
              <w:right w:type="dxa" w:w="80"/>
            </w:tcMar>
          </w:tcPr>
          <w:p>
            <w:pPr>
              <w:spacing w:after="0"/>
              <w:jc w:val="left"/>
            </w:pPr>
            <w:r>
              <w:rPr>
                <w:b w:val="false"/>
                <w:bCs w:val="false"/>
                <w:sz w:val="17"/>
                <w:szCs w:val="17"/>
              </w:rPr>
              <w:t xml:space="preserve">FastAPI, React, PostgreSQL</w:t>
            </w:r>
          </w:p>
        </w:tc>
        <w:tc>
          <w:tcPr>
            <w:tcW w:type="dxa" w:w="1000"/>
            <w:tcMar>
              <w:top w:type="dxa" w:w="60"/>
              <w:left w:type="dxa" w:w="80"/>
              <w:bottom w:type="dxa" w:w="60"/>
              <w:right w:type="dxa" w:w="80"/>
            </w:tcMar>
          </w:tcPr>
          <w:p>
            <w:pPr>
              <w:spacing w:after="0"/>
              <w:jc w:val="left"/>
            </w:pPr>
            <w:r>
              <w:rPr>
                <w:b w:val="false"/>
                <w:bCs w:val="false"/>
                <w:sz w:val="17"/>
                <w:szCs w:val="17"/>
              </w:rPr>
              <w:t xml:space="preserve">Por replanificar</w:t>
            </w:r>
          </w:p>
        </w:tc>
        <w:tc>
          <w:tcPr>
            <w:tcW w:type="dxa" w:w="1250"/>
            <w:tcMar>
              <w:top w:type="dxa" w:w="60"/>
              <w:left w:type="dxa" w:w="80"/>
              <w:bottom w:type="dxa" w:w="60"/>
              <w:right w:type="dxa" w:w="80"/>
            </w:tcMar>
          </w:tcPr>
          <w:p>
            <w:pPr>
              <w:spacing w:after="0"/>
              <w:jc w:val="left"/>
            </w:pPr>
            <w:r>
              <w:rPr>
                <w:b w:val="false"/>
                <w:bCs w:val="false"/>
                <w:sz w:val="17"/>
                <w:szCs w:val="17"/>
              </w:rPr>
              <w:t xml:space="preserve">Equipo</w:t>
            </w:r>
          </w:p>
        </w:tc>
        <w:tc>
          <w:tcPr>
            <w:tcW w:type="dxa" w:w="1050"/>
            <w:tcMar>
              <w:top w:type="dxa" w:w="60"/>
              <w:left w:type="dxa" w:w="80"/>
              <w:bottom w:type="dxa" w:w="60"/>
              <w:right w:type="dxa" w:w="80"/>
            </w:tcMar>
          </w:tcPr>
          <w:p>
            <w:pPr>
              <w:spacing w:after="0"/>
              <w:jc w:val="left"/>
            </w:pPr>
            <w:r>
              <w:rPr>
                <w:b w:val="false"/>
                <w:bCs w:val="false"/>
                <w:sz w:val="17"/>
                <w:szCs w:val="17"/>
              </w:rPr>
              <w:t xml:space="preserve">Etapa inicial</w:t>
            </w:r>
          </w:p>
        </w:tc>
        <w:tc>
          <w:tcPr>
            <w:tcW w:type="dxa" w:w="1660"/>
            <w:tcMar>
              <w:top w:type="dxa" w:w="60"/>
              <w:left w:type="dxa" w:w="80"/>
              <w:bottom w:type="dxa" w:w="60"/>
              <w:right w:type="dxa" w:w="80"/>
            </w:tcMar>
          </w:tcPr>
          <w:p>
            <w:pPr>
              <w:spacing w:after="0"/>
              <w:jc w:val="left"/>
            </w:pPr>
            <w:r>
              <w:rPr>
                <w:b w:val="false"/>
                <w:bCs w:val="false"/>
                <w:sz w:val="17"/>
                <w:szCs w:val="17"/>
              </w:rPr>
              <w:t xml:space="preserve">Repositorio kallicode-admin creado; depende del rol de lectura cross-tenant (E5)</w:t>
            </w:r>
          </w:p>
        </w:tc>
      </w:tr>
      <w:tr>
        <w:tc>
          <w:tcPr>
            <w:tcW w:type="dxa" w:w="1250"/>
            <w:tcMar>
              <w:top w:type="dxa" w:w="60"/>
              <w:left w:type="dxa" w:w="80"/>
              <w:bottom w:type="dxa" w:w="60"/>
              <w:right w:type="dxa" w:w="80"/>
            </w:tcMar>
          </w:tcPr>
          <w:p>
            <w:pPr>
              <w:spacing w:after="0"/>
              <w:jc w:val="left"/>
            </w:pPr>
            <w:r>
              <w:rPr>
                <w:b w:val="false"/>
                <w:bCs w:val="false"/>
                <w:sz w:val="17"/>
                <w:szCs w:val="17"/>
              </w:rPr>
              <w:t xml:space="preserve">Gestionar proyectos informáticos</w:t>
            </w:r>
          </w:p>
        </w:tc>
        <w:tc>
          <w:tcPr>
            <w:tcW w:type="dxa" w:w="1900"/>
            <w:tcMar>
              <w:top w:type="dxa" w:w="60"/>
              <w:left w:type="dxa" w:w="80"/>
              <w:bottom w:type="dxa" w:w="60"/>
              <w:right w:type="dxa" w:w="80"/>
            </w:tcMar>
          </w:tcPr>
          <w:p>
            <w:pPr>
              <w:spacing w:after="0"/>
              <w:jc w:val="left"/>
            </w:pPr>
            <w:r>
              <w:rPr>
                <w:b w:val="false"/>
                <w:bCs w:val="false"/>
                <w:sz w:val="17"/>
                <w:szCs w:val="17"/>
              </w:rPr>
              <w:t xml:space="preserve">Backlog, Kanban, actas, seguimiento con el stakeholder</w:t>
            </w:r>
          </w:p>
        </w:tc>
        <w:tc>
          <w:tcPr>
            <w:tcW w:type="dxa" w:w="1250"/>
            <w:tcMar>
              <w:top w:type="dxa" w:w="60"/>
              <w:left w:type="dxa" w:w="80"/>
              <w:bottom w:type="dxa" w:w="60"/>
              <w:right w:type="dxa" w:w="80"/>
            </w:tcMar>
          </w:tcPr>
          <w:p>
            <w:pPr>
              <w:spacing w:after="0"/>
              <w:jc w:val="left"/>
            </w:pPr>
            <w:r>
              <w:rPr>
                <w:b w:val="false"/>
                <w:bCs w:val="false"/>
                <w:sz w:val="17"/>
                <w:szCs w:val="17"/>
              </w:rPr>
              <w:t xml:space="preserve">CoreStream, Trello, GitHub</w:t>
            </w:r>
          </w:p>
        </w:tc>
        <w:tc>
          <w:tcPr>
            <w:tcW w:type="dxa" w:w="1000"/>
            <w:tcMar>
              <w:top w:type="dxa" w:w="60"/>
              <w:left w:type="dxa" w:w="80"/>
              <w:bottom w:type="dxa" w:w="60"/>
              <w:right w:type="dxa" w:w="80"/>
            </w:tcMar>
          </w:tcPr>
          <w:p>
            <w:pPr>
              <w:spacing w:after="0"/>
              <w:jc w:val="left"/>
            </w:pPr>
            <w:r>
              <w:rPr>
                <w:b w:val="false"/>
                <w:bCs w:val="false"/>
                <w:sz w:val="17"/>
                <w:szCs w:val="17"/>
              </w:rPr>
              <w:t xml:space="preserve">Continua</w:t>
            </w:r>
          </w:p>
        </w:tc>
        <w:tc>
          <w:tcPr>
            <w:tcW w:type="dxa" w:w="1250"/>
            <w:tcMar>
              <w:top w:type="dxa" w:w="60"/>
              <w:left w:type="dxa" w:w="80"/>
              <w:bottom w:type="dxa" w:w="60"/>
              <w:right w:type="dxa" w:w="80"/>
            </w:tcMar>
          </w:tcPr>
          <w:p>
            <w:pPr>
              <w:spacing w:after="0"/>
              <w:jc w:val="left"/>
            </w:pPr>
            <w:r>
              <w:rPr>
                <w:b w:val="false"/>
                <w:bCs w:val="false"/>
                <w:sz w:val="17"/>
                <w:szCs w:val="17"/>
              </w:rPr>
              <w:t xml:space="preserve">Equipo</w:t>
            </w:r>
          </w:p>
        </w:tc>
        <w:tc>
          <w:tcPr>
            <w:tcW w:type="dxa" w:w="1050"/>
            <w:tcMar>
              <w:top w:type="dxa" w:w="60"/>
              <w:left w:type="dxa" w:w="80"/>
              <w:bottom w:type="dxa" w:w="60"/>
              <w:right w:type="dxa" w:w="80"/>
            </w:tcMar>
          </w:tcPr>
          <w:p>
            <w:pPr>
              <w:spacing w:after="0"/>
              <w:jc w:val="left"/>
            </w:pPr>
            <w:r>
              <w:rPr>
                <w:b w:val="false"/>
                <w:bCs w:val="false"/>
                <w:sz w:val="17"/>
                <w:szCs w:val="17"/>
              </w:rPr>
              <w:t xml:space="preserve">En curso</w:t>
            </w:r>
          </w:p>
        </w:tc>
        <w:tc>
          <w:tcPr>
            <w:tcW w:type="dxa" w:w="1660"/>
            <w:tcMar>
              <w:top w:type="dxa" w:w="60"/>
              <w:left w:type="dxa" w:w="80"/>
              <w:bottom w:type="dxa" w:w="60"/>
              <w:right w:type="dxa" w:w="80"/>
            </w:tcMar>
          </w:tcPr>
          <w:p>
            <w:pPr>
              <w:spacing w:after="0"/>
              <w:jc w:val="left"/>
            </w:pPr>
            <w:r>
              <w:rPr>
                <w:b w:val="false"/>
                <w:bCs w:val="false"/>
                <w:sz w:val="17"/>
                <w:szCs w:val="17"/>
              </w:rPr>
              <w:t xml:space="preserve">Unificar códigos de ticket (Trello KC-PLT vs CoreStream KC-QA)</w:t>
            </w:r>
          </w:p>
        </w:tc>
      </w:tr>
    </w:tbl>
    <w:p>
      <w:pPr>
        <w:pStyle w:val="Heading1"/>
      </w:pPr>
      <w:r>
        <w:t xml:space="preserve">3. Ajustes a partir del monitoreo</w:t>
      </w:r>
    </w:p>
    <w:p>
      <w:pPr>
        <w:pStyle w:val="Heading2"/>
      </w:pPr>
      <w:r>
        <w:t xml:space="preserve">Factores que han facilitado y/o dificultado el desarrollo</w:t>
      </w:r>
    </w:p>
    <w:p>
      <w:pPr>
        <w:jc w:val="both"/>
      </w:pPr>
      <w:r>
        <w:rPr>
          <w:b/>
          <w:bCs/>
        </w:rPr>
        <w:t xml:space="preserve">Facilitadores:</w:t>
      </w:r>
    </w:p>
    <w:p>
      <w:pPr>
        <w:pStyle w:val="ListParagraph"/>
        <w:numPr>
          <w:ilvl w:val="0"/>
          <w:numId w:val="2"/>
        </w:numPr>
        <w:spacing w:after="60"/>
        <w:jc w:val="left"/>
      </w:pPr>
      <w:r>
        <w:t xml:space="preserve">La emulación local completa (Docker Compose con PostgreSQL, Redis, Azurite, Mailpit y servidor de embeddings) permitió desarrollar y probar sin costos de nube.</w:t>
      </w:r>
    </w:p>
    <w:p>
      <w:pPr>
        <w:pStyle w:val="ListParagraph"/>
        <w:numPr>
          <w:ilvl w:val="0"/>
          <w:numId w:val="2"/>
        </w:numPr>
        <w:spacing w:after="60"/>
        <w:jc w:val="left"/>
      </w:pPr>
      <w:r>
        <w:t xml:space="preserve">La documentación de Alloxentric es detallada (plan de programa, modelo de datos, diseño de la API, backlog por equipo) y permitió contrastar el diseño con lo implementado.</w:t>
      </w:r>
    </w:p>
    <w:p>
      <w:pPr>
        <w:pStyle w:val="ListParagraph"/>
        <w:numPr>
          <w:ilvl w:val="0"/>
          <w:numId w:val="2"/>
        </w:numPr>
        <w:spacing w:after="60"/>
        <w:jc w:val="left"/>
      </w:pPr>
      <w:r>
        <w:t xml:space="preserve">El CI de GitHub Actions entrega retroalimentación inmediata en cada pull request.</w:t>
      </w:r>
    </w:p>
    <w:p>
      <w:pPr>
        <w:pStyle w:val="ListParagraph"/>
        <w:numPr>
          <w:ilvl w:val="0"/>
          <w:numId w:val="2"/>
        </w:numPr>
        <w:spacing w:after="60"/>
        <w:jc w:val="left"/>
      </w:pPr>
      <w:r>
        <w:t xml:space="preserve">El seguimiento semanal con el stakeholder de Alloxentric.</w:t>
      </w:r>
    </w:p>
    <w:p>
      <w:pPr>
        <w:jc w:val="both"/>
      </w:pPr>
      <w:r>
        <w:rPr>
          <w:b/>
          <w:bCs/>
        </w:rPr>
        <w:t xml:space="preserve">Dificultades:</w:t>
      </w:r>
    </w:p>
    <w:p>
      <w:pPr>
        <w:pStyle w:val="ListParagraph"/>
        <w:numPr>
          <w:ilvl w:val="0"/>
          <w:numId w:val="2"/>
        </w:numPr>
        <w:spacing w:after="60"/>
        <w:jc w:val="left"/>
      </w:pPr>
      <w:r>
        <w:rPr>
          <w:b/>
          <w:bCs/>
        </w:rPr>
        <w:t xml:space="preserve">Cambio de alcance (22–24 de septiembre):</w:t>
      </w:r>
      <w:r>
        <w:t xml:space="preserve"> la documentación v2.0 reorganizó el programa en seis equipos por flujo de valor, derogó la existencia de un equipo de Testing separado (decisión D19) y agregó la Consola de Administración. El equipo pasó a cubrir dos equipos del programa con tres integrantes.</w:t>
      </w:r>
    </w:p>
    <w:p>
      <w:pPr>
        <w:pStyle w:val="ListParagraph"/>
        <w:numPr>
          <w:ilvl w:val="0"/>
          <w:numId w:val="2"/>
        </w:numPr>
        <w:spacing w:after="60"/>
        <w:jc w:val="left"/>
      </w:pPr>
      <w:r>
        <w:rPr>
          <w:b/>
          <w:bCs/>
        </w:rPr>
        <w:t xml:space="preserve">Conflicto CR-KC-001:</w:t>
      </w:r>
      <w:r>
        <w:t xml:space="preserve"> las políticas RLS bloqueaban las pruebas de otros equipos; se resolvió con fixtures de aislamiento por transacciones anidadas (SAVEPOINT) sin debilitar la seguridad (PR #67).</w:t>
      </w:r>
    </w:p>
    <w:p>
      <w:pPr>
        <w:pStyle w:val="ListParagraph"/>
        <w:numPr>
          <w:ilvl w:val="0"/>
          <w:numId w:val="2"/>
        </w:numPr>
        <w:spacing w:after="60"/>
        <w:jc w:val="left"/>
      </w:pPr>
      <w:r>
        <w:rPr>
          <w:b/>
          <w:bCs/>
        </w:rPr>
        <w:t xml:space="preserve">Distribución del trabajo:</w:t>
      </w:r>
      <w:r>
        <w:t xml:space="preserve"> los commits de los bloques 1 y 2 se concentran en un integrante, lo que genera dependencia de una persona y debilita la evidencia de participación individual. Además, un integrante tuvo dificultades para iniciar su trabajo de desarrollo, situación que se transparentó en la reunión con el stakeholder del 27-10.</w:t>
      </w:r>
    </w:p>
    <w:p>
      <w:pPr>
        <w:pStyle w:val="ListParagraph"/>
        <w:numPr>
          <w:ilvl w:val="0"/>
          <w:numId w:val="2"/>
        </w:numPr>
        <w:spacing w:after="60"/>
        <w:jc w:val="left"/>
      </w:pPr>
      <w:r>
        <w:rPr>
          <w:b/>
          <w:bCs/>
        </w:rPr>
        <w:t xml:space="preserve">Dos sistemas de códigos de ticket</w:t>
      </w:r>
      <w:r>
        <w:t xml:space="preserve"> (Trello y CoreStream) generan confusión al hacer seguimiento.</w:t>
      </w:r>
    </w:p>
    <w:p>
      <w:pPr>
        <w:pStyle w:val="Heading2"/>
      </w:pPr>
      <w:r>
        <w:t xml:space="preserve">Retroalimentación recibida</w:t>
      </w:r>
    </w:p>
    <w:p>
      <w:pPr>
        <w:jc w:val="both"/>
      </w:pPr>
      <w:r>
        <w:t xml:space="preserve">En la reunión de seguimiento con el stakeholder de Alloxentric (27-10-2026) se acordó:</w:t>
      </w:r>
    </w:p>
    <w:p>
      <w:pPr>
        <w:pStyle w:val="ListParagraph"/>
        <w:numPr>
          <w:ilvl w:val="0"/>
          <w:numId w:val="2"/>
        </w:numPr>
        <w:spacing w:after="60"/>
        <w:jc w:val="left"/>
      </w:pPr>
      <w:r>
        <w:t xml:space="preserve">Que cada integrante se concentre en los tickets asignados en la plataforma del proyecto; compromiso de resolver los primeros 3 tickets en una semana.</w:t>
      </w:r>
    </w:p>
    <w:p>
      <w:pPr>
        <w:pStyle w:val="ListParagraph"/>
        <w:numPr>
          <w:ilvl w:val="0"/>
          <w:numId w:val="2"/>
        </w:numPr>
        <w:spacing w:after="60"/>
        <w:jc w:val="left"/>
      </w:pPr>
      <w:r>
        <w:t xml:space="preserve">Que la línea de mayor valor del proyecto es automatizar o semiautomatizar el QA con agentes de IA, apoyándose en las capacidades de configuración de agentes (reglas, skills, plugins) y midiendo el consumo de tokens al operar sobre un codebase existente. Al integrarse con los demás equipos se dará acceso a la API de Gemini para pruebas reales.</w:t>
      </w:r>
    </w:p>
    <w:p>
      <w:pPr>
        <w:pStyle w:val="ListParagraph"/>
        <w:numPr>
          <w:ilvl w:val="0"/>
          <w:numId w:val="2"/>
        </w:numPr>
        <w:spacing w:after="60"/>
        <w:jc w:val="left"/>
      </w:pPr>
      <w:r>
        <w:rPr>
          <w:b/>
          <w:bCs/>
        </w:rPr>
        <w:t xml:space="preserve">Decisión de despliegue:</w:t>
      </w:r>
      <w:r>
        <w:t xml:space="preserve"> Vercel para frontend y backend, y Supabase como base de datos externa (plan gratuito), considerando los límites del plan gratuito de Vercel (~4,5 MB por payload y 100 MB de archivos estáticos). Esta decisión ya se ejecutó: el core de KalliCode está desplegado y operativo en Vercel (verificado el 29-10-2026).</w:t>
      </w:r>
    </w:p>
    <w:p>
      <w:pPr>
        <w:jc w:val="both"/>
      </w:pPr>
      <w:r>
        <w:t xml:space="preserve">[PENDIENTE: incorporar la retroalimentación del docente de la Fase 1]</w:t>
      </w:r>
    </w:p>
    <w:p>
      <w:pPr>
        <w:pStyle w:val="Heading2"/>
      </w:pPr>
      <w:r>
        <w:t xml:space="preserve">Actividades ajustadas o eliminadas</w:t>
      </w:r>
    </w:p>
    <w:p>
      <w:pPr>
        <w:pStyle w:val="ListParagraph"/>
        <w:numPr>
          <w:ilvl w:val="0"/>
          <w:numId w:val="2"/>
        </w:numPr>
        <w:spacing w:after="60"/>
        <w:jc w:val="left"/>
      </w:pPr>
      <w:r>
        <w:t xml:space="preserve">El plan de pruebas se reorientó a las </w:t>
      </w:r>
      <w:r>
        <w:rPr>
          <w:b/>
          <w:bCs/>
        </w:rPr>
        <w:t xml:space="preserve">pruebas transversales de la plataforma</w:t>
      </w:r>
      <w:r>
        <w:t xml:space="preserve"> (aislamiento, contrato, esquema y CI), alineado con la responsabilidad de E5 en el Plan de Programa v2.0.</w:t>
      </w:r>
    </w:p>
    <w:p>
      <w:pPr>
        <w:pStyle w:val="ListParagraph"/>
        <w:numPr>
          <w:ilvl w:val="0"/>
          <w:numId w:val="2"/>
        </w:numPr>
        <w:spacing w:after="60"/>
        <w:jc w:val="left"/>
      </w:pPr>
      <w:r>
        <w:t xml:space="preserve">La documentación de diseño se </w:t>
      </w:r>
      <w:r>
        <w:rPr>
          <w:b/>
          <w:bCs/>
        </w:rPr>
        <w:t xml:space="preserve">actualizó desde el sistema real</w:t>
      </w:r>
      <w:r>
        <w:t xml:space="preserve"> en lugar de mantenerse como diseño previo: el MER pasó de 27 a 60 tablas, y el diagrama de clases anterior se reclasificó como modelo de dominio conceptual porque 15 de sus 16 métodos no existen en el código.</w:t>
      </w:r>
    </w:p>
    <w:p>
      <w:pPr>
        <w:pStyle w:val="ListParagraph"/>
        <w:numPr>
          <w:ilvl w:val="0"/>
          <w:numId w:val="2"/>
        </w:numPr>
        <w:spacing w:after="60"/>
        <w:jc w:val="left"/>
      </w:pPr>
      <w:r>
        <w:rPr>
          <w:b/>
          <w:bCs/>
        </w:rPr>
        <w:t xml:space="preserve">Redistribución:</w:t>
      </w:r>
      <w:r>
        <w:t xml:space="preserve"> Luis Ibáñez toma los tickets KC-QA-B4-05 (recolector de métricas JUnit y cobertura), KC-QA-B3-06 (fixtures sintéticos) y KC-QA-B5-08 (mock de facturación) con entrega al 03-11, y desde el bloque 3 cada integrante abre sus propios pull requests.</w:t>
      </w:r>
    </w:p>
    <w:p>
      <w:pPr>
        <w:pStyle w:val="ListParagraph"/>
        <w:numPr>
          <w:ilvl w:val="0"/>
          <w:numId w:val="2"/>
        </w:numPr>
        <w:spacing w:after="60"/>
        <w:jc w:val="left"/>
      </w:pPr>
      <w:r>
        <w:t xml:space="preserve">Se unificará el seguimiento en CoreStream como fuente oficial de tickets.</w:t>
      </w:r>
    </w:p>
    <w:p>
      <w:pPr>
        <w:pStyle w:val="Heading2"/>
      </w:pPr>
      <w:r>
        <w:t xml:space="preserve">Actividades que no han iniciado o están retrasadas</w:t>
      </w:r>
    </w:p>
    <w:p>
      <w:pPr>
        <w:pStyle w:val="ListParagraph"/>
        <w:numPr>
          <w:ilvl w:val="0"/>
          <w:numId w:val="2"/>
        </w:numPr>
        <w:spacing w:after="60"/>
        <w:jc w:val="left"/>
      </w:pPr>
      <w:r>
        <w:rPr>
          <w:b/>
          <w:bCs/>
        </w:rPr>
        <w:t xml:space="preserve">Consola de Administración (E6):</w:t>
      </w:r>
      <w:r>
        <w:t xml:space="preserve"> retrasada. Se creó el repositorio kallicode-admin, pero el desarrollo es incipiente; además requiere el rol de lectura cross-tenant y la identidad de personal, responsabilidad de E5. Se replanificará en el siguiente bloque.</w:t>
      </w:r>
    </w:p>
    <w:p>
      <w:pPr>
        <w:pStyle w:val="ListParagraph"/>
        <w:numPr>
          <w:ilvl w:val="0"/>
          <w:numId w:val="2"/>
        </w:numPr>
        <w:spacing w:after="60"/>
        <w:jc w:val="left"/>
      </w:pPr>
      <w:r>
        <w:rPr>
          <w:b/>
          <w:bCs/>
        </w:rPr>
        <w:t xml:space="preserve">Bloque 3:</w:t>
      </w:r>
      <w:r>
        <w:t xml:space="preserve"> en curso, sin tickets cerrados al 28-10. A la velocidad medida (~57 SP por bloque) quedan 240 SP para cuatro bloques, por lo que cualquier retraso en B3 compromete el cierre en diciembre.</w:t>
      </w:r>
    </w:p>
    <w:p>
      <w:pPr>
        <w:pStyle w:val="ListParagraph"/>
        <w:numPr>
          <w:ilvl w:val="0"/>
          <w:numId w:val="2"/>
        </w:numPr>
        <w:spacing w:after="60"/>
        <w:jc w:val="left"/>
      </w:pPr>
      <w:r>
        <w:rPr>
          <w:b/>
          <w:bCs/>
        </w:rPr>
        <w:t xml:space="preserve">Dependencia externa:</w:t>
      </w:r>
      <w:r>
        <w:t xml:space="preserve"> las transiciones automáticas del orquestador (E2) están pendientes en el repositorio, lo que limita la prueba de extremo a extremo del pipeline.</w:t>
      </w:r>
    </w:p>
    <w:p>
      <w:pPr>
        <w:pStyle w:val="Heading1"/>
      </w:pPr>
      <w:r>
        <w:t xml:space="preserve">Referencias</w:t>
      </w:r>
    </w:p>
    <w:p>
      <w:pPr>
        <w:jc w:val="left"/>
      </w:pPr>
      <w:r>
        <w:t xml:space="preserve">Alloxentric. (2026). </w:t>
      </w:r>
      <w:r>
        <w:rPr>
          <w:i/>
          <w:iCs/>
        </w:rPr>
        <w:t xml:space="preserve">KalliCode: Plan de Programa</w:t>
      </w:r>
      <w:r>
        <w:t xml:space="preserve"> (v2.0). Documento interno del proyecto.</w:t>
      </w:r>
    </w:p>
    <w:p>
      <w:pPr>
        <w:jc w:val="left"/>
      </w:pPr>
      <w:r>
        <w:t xml:space="preserve">Alloxentric. (2026). </w:t>
      </w:r>
      <w:r>
        <w:rPr>
          <w:i/>
          <w:iCs/>
        </w:rPr>
        <w:t xml:space="preserve">KalliCode: Modelo de Base de Datos</w:t>
      </w:r>
      <w:r>
        <w:t xml:space="preserve">. Documento interno del proyecto.</w:t>
      </w:r>
    </w:p>
    <w:p>
      <w:pPr>
        <w:jc w:val="left"/>
      </w:pPr>
      <w:r>
        <w:t xml:space="preserve">PostgreSQL Global Development Group. (2024). </w:t>
      </w:r>
      <w:r>
        <w:rPr>
          <w:i/>
          <w:iCs/>
        </w:rPr>
        <w:t xml:space="preserve">PostgreSQL 16 documentation: Row security policies</w:t>
      </w:r>
      <w:r>
        <w:t xml:space="preserve">. https://www.postgresql.org/docs/16/ddl-rowsecurity.html</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pPr>
        <w:spacing w:after="120" w:line="276"/>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pBdr>
        <w:bottom w:val="single" w:color="4F81BD" w:sz="8" w:space="4"/>
      </w:pBdr>
      <w:spacing w:after="240" w:line="360"/>
    </w:pPr>
    <w:rPr>
      <w:rFonts w:ascii="Calibri" w:cs="Calibri" w:eastAsia="Calibri" w:hAnsi="Calibri"/>
      <w:color w:val="17365D"/>
      <w:sz w:val="44"/>
      <w:szCs w:val="44"/>
    </w:rPr>
  </w:style>
  <w:style w:type="paragraph" w:styleId="Heading1">
    <w:name w:val="Heading 1"/>
    <w:basedOn w:val="Normal"/>
    <w:next w:val="Normal"/>
    <w:qFormat/>
    <w:pPr>
      <w:spacing w:after="120" w:before="360"/>
      <w:outlineLvl w:val="0"/>
    </w:pPr>
    <w:rPr>
      <w:rFonts w:ascii="Calibri" w:cs="Calibri" w:eastAsia="Calibri" w:hAnsi="Calibri"/>
      <w:b/>
      <w:bCs/>
      <w:color w:val="365F91"/>
      <w:sz w:val="28"/>
      <w:szCs w:val="28"/>
    </w:rPr>
  </w:style>
  <w:style w:type="paragraph" w:styleId="Heading2">
    <w:name w:val="Heading 2"/>
    <w:basedOn w:val="Normal"/>
    <w:next w:val="Normal"/>
    <w:qFormat/>
    <w:pPr>
      <w:spacing w:after="80" w:before="200"/>
      <w:outlineLvl w:val="1"/>
    </w:pPr>
    <w:rPr>
      <w:rFonts w:ascii="Calibri" w:cs="Calibri" w:eastAsia="Calibri" w:hAnsi="Calibri"/>
      <w:b/>
      <w:bCs/>
      <w:color w:val="4F81BD"/>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2026-10-30T03:16:19.441Z</dcterms:created>
  <dcterms:modified xsi:type="dcterms:W3CDTF">2026-10-30T03:16:19.446Z</dcterms:modified>
</cp:coreProperties>
</file>

<file path=docProps/custom.xml><?xml version="1.0" encoding="utf-8"?>
<Properties xmlns="http://schemas.openxmlformats.org/officeDocument/2006/custom-properties" xmlns:vt="http://schemas.openxmlformats.org/officeDocument/2006/docPropsVTypes"/>
</file>