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Guía 3. Informe Final Proyecto APT - Fase 2</w:t>
      </w:r>
    </w:p>
    <w:p>
      <w:pPr>
        <w:jc w:val="left"/>
      </w:pPr>
      <w:r>
        <w:rPr>
          <w:b/>
          <w:bCs/>
        </w:rPr>
        <w:t xml:space="preserve">Proyecto:</w:t>
      </w:r>
      <w:r>
        <w:t xml:space="preserve"> KalliCode — Ecosistema de Software Agéntico (propuesta de Alloxentric) · </w:t>
      </w:r>
      <w:r>
        <w:rPr>
          <w:b/>
          <w:bCs/>
        </w:rPr>
        <w:t xml:space="preserve">Equipo:</w:t>
      </w:r>
      <w:r>
        <w:t xml:space="preserve"> Equipos 5 y 6 del programa</w:t>
      </w:r>
    </w:p>
    <w:p>
      <w:pPr>
        <w:jc w:val="left"/>
      </w:pPr>
      <w:r>
        <w:rPr>
          <w:b/>
          <w:bCs/>
        </w:rPr>
        <w:t xml:space="preserve">Integrantes:</w:t>
      </w:r>
      <w:r>
        <w:t xml:space="preserve"> Alejandro González (QA1) · Luis Ibáñez (QA2) · Ana Panes (QA3)</w:t>
      </w:r>
    </w:p>
    <w:p>
      <w:pPr>
        <w:jc w:val="left"/>
      </w:pPr>
      <w:r>
        <w:rPr>
          <w:b/>
          <w:bCs/>
        </w:rPr>
        <w:t xml:space="preserve">Versión:</w:t>
      </w:r>
      <w:r>
        <w:t xml:space="preserve"> preliminar con corte al 28-10-2026. Se actualizará con los resultados del cierre de la Fase 2.</w:t>
      </w:r>
    </w:p>
    <w:p>
      <w:pPr>
        <w:pStyle w:val="Heading2"/>
      </w:pPr>
      <w:r>
        <w:t xml:space="preserve">Abstract</w:t>
      </w:r>
    </w:p>
    <w:p>
      <w:pPr>
        <w:jc w:val="both"/>
      </w:pPr>
      <w:r>
        <w:rPr>
          <w:b/>
          <w:bCs/>
        </w:rPr>
        <w:t xml:space="preserve">ESPAÑOL:</w:t>
      </w:r>
      <w:r>
        <w:t xml:space="preserve"> KalliCode es un ecosistema de software agéntico que lleva tickets de clientes corporativos desde su ingreso hasta producción, con aprobaciones humanas en los puntos críticos y aislamiento estricto de los datos de cada cliente. Este proyecto aborda la plataforma de calidad transversal del programa: un entorno de pruebas local reproducible, integración continua con puertas de calidad obligatorias y suites automatizadas que verifican el aislamiento multi-tenant mediante Row Level Security en PostgreSQL, la seguridad de autenticación y autorización, y la integridad de las migraciones. Al cierre de este corte se completaron 23 de 72 tickets (32 % del backlog), se reconstruyó el modelo de datos desde el sistema real (60 tablas) y el análisis del código produjo siete hallazgos de calidad documentados, incluido un defecto no detectado por las pruebas existentes. La suite automatizada del equipo se ejecutó completa con 62 de 62 pruebas aprobadas y una cobertura del 89,7 %.</w:t>
      </w:r>
    </w:p>
    <w:p>
      <w:pPr>
        <w:jc w:val="both"/>
      </w:pPr>
      <w:r>
        <w:rPr>
          <w:b/>
          <w:bCs/>
        </w:rPr>
        <w:t xml:space="preserve">ENGLISH:</w:t>
      </w:r>
      <w:r>
        <w:t xml:space="preserve"> KalliCode is an agentic software ecosystem that takes corporate clients’ tickets from intake to production, with human approvals at critical points and strict isolation of each client’s data. This project addresses the program’s cross-cutting quality platform: a reproducible local test environment, continuous integration with mandatory quality gates, and automated suites that verify multi-tenant isolation through PostgreSQL Row Level Security, authentication and authorization security, and migration integrity. As of this checkpoint, 23 of 72 tickets were completed (32% of the backlog), the data model was rebuilt from the running system (60 tables), and code analysis produced seven documented quality findings, including a defect that existing tests failed to detect. The team’s automated suite was fully executed, with 62 of 62 tests passing and 89.7% code coverage.</w:t>
      </w:r>
    </w:p>
    <w:p>
      <w:pPr>
        <w:pStyle w:val="Heading1"/>
      </w:pPr>
      <w:r>
        <w:t xml:space="preserve">1. Relevancia y Objetivos</w:t>
      </w:r>
    </w:p>
    <w:p>
      <w:pPr>
        <w:jc w:val="both"/>
      </w:pPr>
      <w:r>
        <w:rPr>
          <w:b/>
          <w:bCs/>
        </w:rPr>
        <w:t xml:space="preserve">Relevancia:</w:t>
      </w:r>
      <w:r>
        <w:t xml:space="preserve"> la adopción de IA generativa para escribir software en empresas reguladas está frenada por dos riesgos: la fuga de información entre clientes y la falta de control sobre lo que la IA entrega. KalliCode responde con una arquitectura multi-tenant cuyo aislamiento lo impone la propia base de datos y con tres gates de aprobación humana auditados. Sin una plataforma de pruebas que demuestre esas garantías en cada cambio, la promesa no es verificable: ese es el aporte de este equipo.</w:t>
      </w:r>
    </w:p>
    <w:p>
      <w:pPr>
        <w:jc w:val="both"/>
      </w:pPr>
      <w:r>
        <w:rPr>
          <w:b/>
          <w:bCs/>
        </w:rPr>
        <w:t xml:space="preserve">Objetivo general:</w:t>
      </w:r>
      <w:r>
        <w:t xml:space="preserve"> asegurar que la plataforma KalliCode sea verificable, reproducible y segura para un entorno multi-tenant, mediante una estrategia de pruebas automatizadas integrada al CI/CD.</w:t>
      </w:r>
    </w:p>
    <w:p>
      <w:pPr>
        <w:jc w:val="both"/>
      </w:pPr>
      <w:r>
        <w:rPr>
          <w:b/>
          <w:bCs/>
        </w:rPr>
        <w:t xml:space="preserve">Objetivos específicos:</w:t>
      </w:r>
      <w:r>
        <w:t xml:space="preserve"> (1) proveer un entorno de pruebas local sin dependencia de la nube; (2) verificar automáticamente el aislamiento multi-tenant y la seguridad de acceso en cada pull request; (3) validar la integridad del esquema y las migraciones; (4) construir el motor de generación de pruebas con IA; (5) desarrollar la Consola de Administración con acceso cross-tenant controlado.</w:t>
      </w:r>
    </w:p>
    <w:p>
      <w:pPr>
        <w:pStyle w:val="Heading1"/>
      </w:pPr>
      <w:r>
        <w:t xml:space="preserve">2. Metodología y Desarrollo</w:t>
      </w:r>
    </w:p>
    <w:p>
      <w:pPr>
        <w:jc w:val="both"/>
      </w:pPr>
      <w:r>
        <w:rPr>
          <w:b/>
          <w:bCs/>
        </w:rPr>
        <w:t xml:space="preserve">Metodología:</w:t>
      </w:r>
      <w:r>
        <w:t xml:space="preserve"> modelo híbrido adaptado del Scrum del programa: backlog de 72 tickets en 8 épicas estimado en Story Points, seis bloques incrementales de dos semanas y tablero Kanban con límite WIP = 3. La Definición de Terminado la aplica el CI: escaneo de secretos (Gitleaks), análisis estático (Semgrep), vulnerabilidades (Trivy), linters y tipos (Ruff, Mypy), reaplicación idempotente de migraciones y pruebas contra PostgreSQL real.</w:t>
      </w:r>
    </w:p>
    <w:p>
      <w:pPr>
        <w:jc w:val="both"/>
      </w:pPr>
      <w:r>
        <w:rPr>
          <w:b/>
          <w:bCs/>
        </w:rPr>
        <w:t xml:space="preserve">Desarrollo:</w:t>
      </w:r>
      <w:r>
        <w:t xml:space="preserve"> los bloques 1 (entorno y utilidades de prueba) y 2 (suites de aislamiento y seguridad) se completaron entre el 28-09 y el 15-10, con una velocidad de ~57 SP por bloque. Paralelamente se actualizó toda la documentación de diseño contrastándola con el código: el MER, el diagrama de clases, los casos de uso con su trazabilidad a los 87 endpoints de la API y la máquina de estados del pipeline.</w:t>
      </w:r>
    </w:p>
    <w:p>
      <w:pPr>
        <w:jc w:val="both"/>
      </w:pPr>
      <w:r>
        <w:rPr>
          <w:b/>
          <w:bCs/>
        </w:rPr>
        <w:t xml:space="preserve">Facilitadores:</w:t>
      </w:r>
      <w:r>
        <w:t xml:space="preserve"> emulación local completa con Docker; documentación técnica detallada de Alloxentric; retroalimentación inmediata del CI; seguimiento semanal con el stakeholder.</w:t>
      </w:r>
    </w:p>
    <w:p>
      <w:pPr>
        <w:jc w:val="both"/>
      </w:pPr>
      <w:r>
        <w:rPr>
          <w:b/>
          <w:bCs/>
        </w:rPr>
        <w:t xml:space="preserve">Dificultades:</w:t>
      </w:r>
      <w:r>
        <w:t xml:space="preserve"> el cambio de alcance de septiembre (seis equipos por flujo de valor y Consola de Administración agregada) dejó a tres integrantes cubriendo dos equipos; el conflicto CR-KC-001 entre RLS y las pruebas de otros equipos, resuelto con fixtures por transacciones anidadas (PR #67); y una distribución desigual de los commits entre integrantes, que se corrige desde el bloque 3 con pull requests propios por integrante.</w:t>
      </w:r>
    </w:p>
    <w:p>
      <w:pPr>
        <w:pStyle w:val="Heading1"/>
      </w:pPr>
      <w:r>
        <w:t xml:space="preserve">3.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shd w:fill="DBE5F1" w:color="auto" w:val="clear"/>
            <w:tcMar>
              <w:top w:type="dxa" w:w="60"/>
              <w:left w:type="dxa" w:w="80"/>
              <w:bottom w:type="dxa" w:w="60"/>
              <w:right w:type="dxa" w:w="80"/>
            </w:tcMar>
          </w:tcPr>
          <w:p>
            <w:pPr>
              <w:spacing w:after="0"/>
              <w:jc w:val="left"/>
            </w:pPr>
            <w:r>
              <w:rPr>
                <w:b/>
                <w:bCs/>
                <w:sz w:val="17"/>
                <w:szCs w:val="17"/>
              </w:rPr>
              <w:t xml:space="preserve">Ámbito</w:t>
            </w:r>
          </w:p>
        </w:tc>
        <w:tc>
          <w:tcPr>
            <w:tcW w:type="dxa" w:w="4560"/>
            <w:shd w:fill="DBE5F1" w:color="auto" w:val="clear"/>
            <w:tcMar>
              <w:top w:type="dxa" w:w="60"/>
              <w:left w:type="dxa" w:w="80"/>
              <w:bottom w:type="dxa" w:w="60"/>
              <w:right w:type="dxa" w:w="80"/>
            </w:tcMar>
          </w:tcPr>
          <w:p>
            <w:pPr>
              <w:spacing w:after="0"/>
              <w:jc w:val="left"/>
            </w:pPr>
            <w:r>
              <w:rPr>
                <w:b/>
                <w:bCs/>
                <w:sz w:val="17"/>
                <w:szCs w:val="17"/>
              </w:rPr>
              <w:t xml:space="preserve">Evidencia</w:t>
            </w:r>
          </w:p>
        </w:tc>
        <w:tc>
          <w:tcPr>
            <w:tcW w:type="dxa" w:w="3300"/>
            <w:shd w:fill="DBE5F1" w:color="auto" w:val="clear"/>
            <w:tcMar>
              <w:top w:type="dxa" w:w="60"/>
              <w:left w:type="dxa" w:w="80"/>
              <w:bottom w:type="dxa" w:w="60"/>
              <w:right w:type="dxa" w:w="80"/>
            </w:tcMar>
          </w:tcPr>
          <w:p>
            <w:pPr>
              <w:spacing w:after="0"/>
              <w:jc w:val="left"/>
            </w:pPr>
            <w:r>
              <w:rPr>
                <w:b/>
                <w:bCs/>
                <w:sz w:val="17"/>
                <w:szCs w:val="17"/>
              </w:rPr>
              <w:t xml:space="preserve">Ubicación</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Avance</w:t>
            </w:r>
          </w:p>
        </w:tc>
        <w:tc>
          <w:tcPr>
            <w:tcW w:type="dxa" w:w="4560"/>
            <w:tcMar>
              <w:top w:type="dxa" w:w="60"/>
              <w:left w:type="dxa" w:w="80"/>
              <w:bottom w:type="dxa" w:w="60"/>
              <w:right w:type="dxa" w:w="80"/>
            </w:tcMar>
          </w:tcPr>
          <w:p>
            <w:pPr>
              <w:spacing w:after="0"/>
              <w:jc w:val="left"/>
            </w:pPr>
            <w:r>
              <w:rPr>
                <w:b w:val="false"/>
                <w:bCs w:val="false"/>
                <w:sz w:val="17"/>
                <w:szCs w:val="17"/>
              </w:rPr>
              <w:t xml:space="preserve">23/72 tickets y 115/355 SP cerrados, verificados en git</w:t>
            </w:r>
          </w:p>
        </w:tc>
        <w:tc>
          <w:tcPr>
            <w:tcW w:type="dxa" w:w="3300"/>
            <w:tcMar>
              <w:top w:type="dxa" w:w="60"/>
              <w:left w:type="dxa" w:w="80"/>
              <w:bottom w:type="dxa" w:w="60"/>
              <w:right w:type="dxa" w:w="80"/>
            </w:tcMar>
          </w:tcPr>
          <w:p>
            <w:pPr>
              <w:spacing w:after="0"/>
              <w:jc w:val="left"/>
            </w:pPr>
            <w:r>
              <w:rPr>
                <w:b w:val="false"/>
                <w:bCs w:val="false"/>
                <w:sz w:val="17"/>
                <w:szCs w:val="17"/>
              </w:rPr>
              <w:t xml:space="preserve">Metodologia_y_Backlog_KalliCode.md</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Pruebas</w:t>
            </w:r>
          </w:p>
        </w:tc>
        <w:tc>
          <w:tcPr>
            <w:tcW w:type="dxa" w:w="4560"/>
            <w:tcMar>
              <w:top w:type="dxa" w:w="60"/>
              <w:left w:type="dxa" w:w="80"/>
              <w:bottom w:type="dxa" w:w="60"/>
              <w:right w:type="dxa" w:w="80"/>
            </w:tcMar>
          </w:tcPr>
          <w:p>
            <w:pPr>
              <w:spacing w:after="0"/>
              <w:jc w:val="left"/>
            </w:pPr>
            <w:r>
              <w:rPr>
                <w:b w:val="false"/>
                <w:bCs w:val="false"/>
                <w:sz w:val="17"/>
                <w:szCs w:val="17"/>
              </w:rPr>
              <w:t xml:space="preserve">Plan de pruebas, 16 casos (46 pruebas automatizadas), resultados (62/62 aprobadas, cobertura 89,7 %) y hallazgos H-01 a H-08</w:t>
            </w:r>
          </w:p>
        </w:tc>
        <w:tc>
          <w:tcPr>
            <w:tcW w:type="dxa" w:w="3300"/>
            <w:tcMar>
              <w:top w:type="dxa" w:w="60"/>
              <w:left w:type="dxa" w:w="80"/>
              <w:bottom w:type="dxa" w:w="60"/>
              <w:right w:type="dxa" w:w="80"/>
            </w:tcMar>
          </w:tcPr>
          <w:p>
            <w:pPr>
              <w:spacing w:after="0"/>
              <w:jc w:val="left"/>
            </w:pPr>
            <w:r>
              <w:rPr>
                <w:b w:val="false"/>
                <w:bCs w:val="false"/>
                <w:sz w:val="17"/>
                <w:szCs w:val="17"/>
              </w:rPr>
              <w:t xml:space="preserve">Documentos de Diseño/</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Datos</w:t>
            </w:r>
          </w:p>
        </w:tc>
        <w:tc>
          <w:tcPr>
            <w:tcW w:type="dxa" w:w="4560"/>
            <w:tcMar>
              <w:top w:type="dxa" w:w="60"/>
              <w:left w:type="dxa" w:w="80"/>
              <w:bottom w:type="dxa" w:w="60"/>
              <w:right w:type="dxa" w:w="80"/>
            </w:tcMar>
          </w:tcPr>
          <w:p>
            <w:pPr>
              <w:spacing w:after="0"/>
              <w:jc w:val="left"/>
            </w:pPr>
            <w:r>
              <w:rPr>
                <w:b w:val="false"/>
                <w:bCs w:val="false"/>
                <w:sz w:val="17"/>
                <w:szCs w:val="17"/>
              </w:rPr>
              <w:t xml:space="preserve">MER de 60 tablas (6 diagramas), diccionario de datos, DDL consolidado</w:t>
            </w:r>
          </w:p>
        </w:tc>
        <w:tc>
          <w:tcPr>
            <w:tcW w:type="dxa" w:w="3300"/>
            <w:tcMar>
              <w:top w:type="dxa" w:w="60"/>
              <w:left w:type="dxa" w:w="80"/>
              <w:bottom w:type="dxa" w:w="60"/>
              <w:right w:type="dxa" w:w="80"/>
            </w:tcMar>
          </w:tcPr>
          <w:p>
            <w:pPr>
              <w:spacing w:after="0"/>
              <w:jc w:val="left"/>
            </w:pPr>
            <w:r>
              <w:rPr>
                <w:b w:val="false"/>
                <w:bCs w:val="false"/>
                <w:sz w:val="17"/>
                <w:szCs w:val="17"/>
              </w:rPr>
              <w:t xml:space="preserve">Documentos de Diseño/ y Evidencias de sistema/Base de datos/</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Diseño</w:t>
            </w:r>
          </w:p>
        </w:tc>
        <w:tc>
          <w:tcPr>
            <w:tcW w:type="dxa" w:w="4560"/>
            <w:tcMar>
              <w:top w:type="dxa" w:w="60"/>
              <w:left w:type="dxa" w:w="80"/>
              <w:bottom w:type="dxa" w:w="60"/>
              <w:right w:type="dxa" w:w="80"/>
            </w:tcMar>
          </w:tcPr>
          <w:p>
            <w:pPr>
              <w:spacing w:after="0"/>
              <w:jc w:val="left"/>
            </w:pPr>
            <w:r>
              <w:rPr>
                <w:b w:val="false"/>
                <w:bCs w:val="false"/>
                <w:sz w:val="17"/>
                <w:szCs w:val="17"/>
              </w:rPr>
              <w:t xml:space="preserve">Diagrama de clases, casos de uso con trazabilidad a la API, actividades y máquina de estados</w:t>
            </w:r>
          </w:p>
        </w:tc>
        <w:tc>
          <w:tcPr>
            <w:tcW w:type="dxa" w:w="3300"/>
            <w:tcMar>
              <w:top w:type="dxa" w:w="60"/>
              <w:left w:type="dxa" w:w="80"/>
              <w:bottom w:type="dxa" w:w="60"/>
              <w:right w:type="dxa" w:w="80"/>
            </w:tcMar>
          </w:tcPr>
          <w:p>
            <w:pPr>
              <w:spacing w:after="0"/>
              <w:jc w:val="left"/>
            </w:pPr>
            <w:r>
              <w:rPr>
                <w:b w:val="false"/>
                <w:bCs w:val="false"/>
                <w:sz w:val="17"/>
                <w:szCs w:val="17"/>
              </w:rPr>
              <w:t xml:space="preserve">Documentos de Diseño/</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Sistema</w:t>
            </w:r>
          </w:p>
        </w:tc>
        <w:tc>
          <w:tcPr>
            <w:tcW w:type="dxa" w:w="4560"/>
            <w:tcMar>
              <w:top w:type="dxa" w:w="60"/>
              <w:left w:type="dxa" w:w="80"/>
              <w:bottom w:type="dxa" w:w="60"/>
              <w:right w:type="dxa" w:w="80"/>
            </w:tcMar>
          </w:tcPr>
          <w:p>
            <w:pPr>
              <w:spacing w:after="0"/>
              <w:jc w:val="left"/>
            </w:pPr>
            <w:r>
              <w:rPr>
                <w:b w:val="false"/>
                <w:bCs w:val="false"/>
                <w:sz w:val="17"/>
                <w:szCs w:val="17"/>
              </w:rPr>
              <w:t xml:space="preserve">Portal Cliente desplegado en Vercel (capturas del tablero y tickets) y guía de instalación y ejecución</w:t>
            </w:r>
          </w:p>
        </w:tc>
        <w:tc>
          <w:tcPr>
            <w:tcW w:type="dxa" w:w="3300"/>
            <w:tcMar>
              <w:top w:type="dxa" w:w="60"/>
              <w:left w:type="dxa" w:w="80"/>
              <w:bottom w:type="dxa" w:w="60"/>
              <w:right w:type="dxa" w:w="80"/>
            </w:tcMar>
          </w:tcPr>
          <w:p>
            <w:pPr>
              <w:spacing w:after="0"/>
              <w:jc w:val="left"/>
            </w:pPr>
            <w:r>
              <w:rPr>
                <w:b w:val="false"/>
                <w:bCs w:val="false"/>
                <w:sz w:val="17"/>
                <w:szCs w:val="17"/>
              </w:rPr>
              <w:t xml:space="preserve">Evidencias de sistema/Aplicacion/</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Código</w:t>
            </w:r>
          </w:p>
        </w:tc>
        <w:tc>
          <w:tcPr>
            <w:tcW w:type="dxa" w:w="4560"/>
            <w:tcMar>
              <w:top w:type="dxa" w:w="60"/>
              <w:left w:type="dxa" w:w="80"/>
              <w:bottom w:type="dxa" w:w="60"/>
              <w:right w:type="dxa" w:w="80"/>
            </w:tcMar>
          </w:tcPr>
          <w:p>
            <w:pPr>
              <w:spacing w:after="0"/>
              <w:jc w:val="left"/>
            </w:pPr>
            <w:r>
              <w:rPr>
                <w:b w:val="false"/>
                <w:bCs w:val="false"/>
                <w:sz w:val="17"/>
                <w:szCs w:val="17"/>
              </w:rPr>
              <w:t xml:space="preserve">PR #91 (BYPASSRLS), #92 (suite RLS), #137 (logs por tenant), #138 (matriz RBAC), entre otros</w:t>
            </w:r>
          </w:p>
        </w:tc>
        <w:tc>
          <w:tcPr>
            <w:tcW w:type="dxa" w:w="3300"/>
            <w:tcMar>
              <w:top w:type="dxa" w:w="60"/>
              <w:left w:type="dxa" w:w="80"/>
              <w:bottom w:type="dxa" w:w="60"/>
              <w:right w:type="dxa" w:w="80"/>
            </w:tcMar>
          </w:tcPr>
          <w:p>
            <w:pPr>
              <w:spacing w:after="0"/>
              <w:jc w:val="left"/>
            </w:pPr>
            <w:r>
              <w:rPr>
                <w:b w:val="false"/>
                <w:bCs w:val="false"/>
                <w:sz w:val="17"/>
                <w:szCs w:val="17"/>
              </w:rPr>
              <w:t xml:space="preserve">Repositorio kallicode-backend</w:t>
            </w:r>
          </w:p>
        </w:tc>
      </w:tr>
      <w:tr>
        <w:tc>
          <w:tcPr>
            <w:tcW w:type="dxa" w:w="1500"/>
            <w:tcMar>
              <w:top w:type="dxa" w:w="60"/>
              <w:left w:type="dxa" w:w="80"/>
              <w:bottom w:type="dxa" w:w="60"/>
              <w:right w:type="dxa" w:w="80"/>
            </w:tcMar>
          </w:tcPr>
          <w:p>
            <w:pPr>
              <w:spacing w:after="0"/>
              <w:jc w:val="left"/>
            </w:pPr>
            <w:r>
              <w:rPr>
                <w:b w:val="false"/>
                <w:bCs w:val="false"/>
                <w:sz w:val="17"/>
                <w:szCs w:val="17"/>
              </w:rPr>
              <w:t xml:space="preserve">Gestión</w:t>
            </w:r>
          </w:p>
        </w:tc>
        <w:tc>
          <w:tcPr>
            <w:tcW w:type="dxa" w:w="4560"/>
            <w:tcMar>
              <w:top w:type="dxa" w:w="60"/>
              <w:left w:type="dxa" w:w="80"/>
              <w:bottom w:type="dxa" w:w="60"/>
              <w:right w:type="dxa" w:w="80"/>
            </w:tcMar>
          </w:tcPr>
          <w:p>
            <w:pPr>
              <w:spacing w:after="0"/>
              <w:jc w:val="left"/>
            </w:pPr>
            <w:r>
              <w:rPr>
                <w:b w:val="false"/>
                <w:bCs w:val="false"/>
                <w:sz w:val="17"/>
                <w:szCs w:val="17"/>
              </w:rPr>
              <w:t xml:space="preserve">Backlog, Kanban, actas, stakeholders, resolución de conflictos</w:t>
            </w:r>
          </w:p>
        </w:tc>
        <w:tc>
          <w:tcPr>
            <w:tcW w:type="dxa" w:w="3300"/>
            <w:tcMar>
              <w:top w:type="dxa" w:w="60"/>
              <w:left w:type="dxa" w:w="80"/>
              <w:bottom w:type="dxa" w:w="60"/>
              <w:right w:type="dxa" w:w="80"/>
            </w:tcMar>
          </w:tcPr>
          <w:p>
            <w:pPr>
              <w:spacing w:after="0"/>
              <w:jc w:val="left"/>
            </w:pPr>
            <w:r>
              <w:rPr>
                <w:b w:val="false"/>
                <w:bCs w:val="false"/>
                <w:sz w:val="17"/>
                <w:szCs w:val="17"/>
              </w:rPr>
              <w:t xml:space="preserve">Documentos de gestion/</w:t>
            </w:r>
          </w:p>
        </w:tc>
      </w:tr>
    </w:tbl>
    <w:p>
      <w:pPr>
        <w:jc w:val="both"/>
      </w:pPr>
    </w:p>
    <w:p>
      <w:pPr>
        <w:jc w:val="both"/>
      </w:pPr>
      <w:r>
        <w:rPr>
          <w:b/>
          <w:bCs/>
        </w:rPr>
        <w:t xml:space="preserve">Hallazgo destacado (H-07):</w:t>
      </w:r>
      <w:r>
        <w:t xml:space="preserve"> la política de escalado del orquestador clasifica como severidad "media" las escalaciones de la etapa de seguridad, porque compara contra el texto "seguridad" mientras el estado real se llama "security". La prueba unitaria usa el mismo texto erróneo y por eso pasa. El hallazgo muestra el valor de contrastar las pruebas con el requisito y no solo con la implementación.</w:t>
      </w:r>
    </w:p>
    <w:p>
      <w:pPr>
        <w:pStyle w:val="Heading1"/>
      </w:pPr>
      <w:r>
        <w:t xml:space="preserve">4. Conclusiones y Reflexión Individual</w:t>
      </w:r>
    </w:p>
    <w:p>
      <w:pPr>
        <w:pStyle w:val="Heading2"/>
      </w:pPr>
      <w:r>
        <w:t xml:space="preserve">CONCLUSIONS (English only)</w:t>
      </w:r>
    </w:p>
    <w:p>
      <w:pPr>
        <w:jc w:val="both"/>
      </w:pPr>
      <w:r>
        <w:t xml:space="preserve">The first two delivery blocks show that strong multi-tenant guarantees can be verified automatically on every change: row-level security, role privileges, token validation, role-based access to the approval gates and migration integrity are now covered by tests that run against a real PostgreSQL instance in the CI pipeline. Rebuilding the design documentation from the running system, instead of keeping it as an initial plan, exposed gaps that would otherwise have gone unnoticed: an entity-relationship model covering less than half of the tables, a class diagram describing methods that do not exist, and a defect hidden by a test that validated the implementation rather than the requirement. The main open risks are the Administration Console, which is still at an early stage, the pace required to complete the remaining blocks, and the need for every team member’s contribution to be visible in the repository.</w:t>
      </w:r>
    </w:p>
    <w:p>
      <w:pPr>
        <w:pStyle w:val="Heading2"/>
      </w:pPr>
      <w:r>
        <w:t xml:space="preserve">REFLECTION (English only)</w:t>
      </w:r>
    </w:p>
    <w:p>
      <w:pPr>
        <w:jc w:val="both"/>
      </w:pPr>
      <w:r>
        <w:rPr>
          <w:b/>
          <w:bCs/>
        </w:rPr>
        <w:t xml:space="preserve">Ana Panes:</w:t>
      </w:r>
      <w:r>
        <w:t xml:space="preserve"> Throughout this Phase 2, my role as Database and Tenancy Lead has profoundly shaped my professional trajectory. Tackling complex challenges, such as asynchronous log isolation and transaction confinement, shifted my perspective from traditional software development towards Site Reliability Engineering (SRE) and DevOps architecture. Defending critical security requirements during team conflicts taught me the importance of technical negotiation and uncompromising data governance. I am now fully projected to pursue advanced roles in cloud infrastructure, database administration, and secure systems architecture.</w:t>
      </w:r>
    </w:p>
    <w:p>
      <w:pPr>
        <w:jc w:val="both"/>
      </w:pPr>
      <w:r>
        <w:rPr>
          <w:b/>
          <w:bCs/>
        </w:rPr>
        <w:t xml:space="preserve">Alejandro González:</w:t>
      </w:r>
      <w:r>
        <w:t xml:space="preserve"> [PENDING: individual reflection written by Alejandro]</w:t>
      </w:r>
    </w:p>
    <w:p>
      <w:pPr>
        <w:jc w:val="both"/>
      </w:pPr>
      <w:r>
        <w:rPr>
          <w:b/>
          <w:bCs/>
        </w:rPr>
        <w:t xml:space="preserve">Luis Ibáñez:</w:t>
      </w:r>
      <w:r>
        <w:t xml:space="preserve"> This phase taught me that perfectionism can turn into paralysis. For several weeks I tried to understand the whole project before starting, and my progress fell behind. I was honest about this with my team and with our stakeholder, and that was the turning point. I stopped only reading documentation and started working directly on the real system: updating the data model, the diagrams and the test documentation. In that process I found concrete errors, which showed me that quality assurance is about questioning what we assume is correct. For the next phase, my goal is to work with consistency, deliver small and frequent contributions, and make my work visible to my team.</w:t>
      </w:r>
    </w:p>
    <w:p>
      <w:pPr>
        <w:pStyle w:val="Heading1"/>
      </w:pPr>
      <w:r>
        <w:t xml:space="preserve">Referencias</w:t>
      </w:r>
    </w:p>
    <w:p>
      <w:pPr>
        <w:jc w:val="left"/>
      </w:pPr>
      <w:r>
        <w:t xml:space="preserve">Alloxentric. (2026). </w:t>
      </w:r>
      <w:r>
        <w:rPr>
          <w:i/>
          <w:iCs/>
        </w:rPr>
        <w:t xml:space="preserve">KalliCode: Plan de Programa</w:t>
      </w:r>
      <w:r>
        <w:t xml:space="preserve"> (v2.0). Documento interno del proyecto.</w:t>
      </w:r>
    </w:p>
    <w:p>
      <w:pPr>
        <w:jc w:val="left"/>
      </w:pPr>
      <w:r>
        <w:t xml:space="preserve">Alloxentric. (2026). </w:t>
      </w:r>
      <w:r>
        <w:rPr>
          <w:i/>
          <w:iCs/>
        </w:rPr>
        <w:t xml:space="preserve">KalliCode: Modelo de Base de Datos</w:t>
      </w:r>
      <w:r>
        <w:t xml:space="preserve">. Documento interno del proyecto.</w:t>
      </w:r>
    </w:p>
    <w:p>
      <w:pPr>
        <w:jc w:val="left"/>
      </w:pPr>
      <w:r>
        <w:t xml:space="preserve">PostgreSQL Global Development Group. (2024). </w:t>
      </w:r>
      <w:r>
        <w:rPr>
          <w:i/>
          <w:iCs/>
        </w:rPr>
        <w:t xml:space="preserve">PostgreSQL 16 documentation: Row security policies</w:t>
      </w:r>
      <w:r>
        <w:t xml:space="preserve">. https://www.postgresql.org/docs/16/ddl-rowsecurity.html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4F81BD" w:sz="8" w:space="4"/>
      </w:pBdr>
      <w:spacing w:after="240" w:line="360"/>
    </w:pPr>
    <w:rPr>
      <w:rFonts w:ascii="Calibri" w:cs="Calibri" w:eastAsia="Calibri" w:hAnsi="Calibri"/>
      <w:color w:val="17365D"/>
      <w:sz w:val="44"/>
      <w:szCs w:val="44"/>
    </w:rPr>
  </w:style>
  <w:style w:type="paragraph" w:styleId="Heading1">
    <w:name w:val="Heading 1"/>
    <w:basedOn w:val="Normal"/>
    <w:next w:val="Normal"/>
    <w:qFormat/>
    <w:pPr>
      <w:spacing w:after="120" w:before="360"/>
      <w:outlineLvl w:val="0"/>
    </w:pPr>
    <w:rPr>
      <w:rFonts w:ascii="Calibri" w:cs="Calibri" w:eastAsia="Calibri" w:hAnsi="Calibri"/>
      <w:b/>
      <w:bCs/>
      <w:color w:val="365F91"/>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4F81B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2026-10-30T03:16:19.620Z</dcterms:created>
  <dcterms:modified xsi:type="dcterms:W3CDTF">2026-10-30T03:16:19.620Z</dcterms:modified>
</cp:coreProperties>
</file>

<file path=docProps/custom.xml><?xml version="1.0" encoding="utf-8"?>
<Properties xmlns="http://schemas.openxmlformats.org/officeDocument/2006/custom-properties" xmlns:vt="http://schemas.openxmlformats.org/officeDocument/2006/docPropsVTypes"/>
</file>