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3. Informe Final Proyecto APT - Fase 2</w:t>
      </w:r>
    </w:p>
    <w:p>
      <w:pPr>
        <w:pStyle w:val="Heading1"/>
      </w:pPr>
      <w:r>
        <w:t>Abstract</w:t>
      </w:r>
    </w:p>
    <w:p>
      <w:r>
        <w:t>ESPAÑOL: KalliCode es un ecosistema de software agéntico diseñado para entornos corporativos regulados, resolviendo el riesgo de fugas de propiedad intelectual en la adopción de IA generativa. Mediante una arquitectura SaaS multi-tenant, orquestación cero-nube (Docker, Azurite) y políticas estrictas de Row-Level Security (RLS) en PostgreSQL, el proyecto garantiza la soberanía de datos y la inmutabilidad de la auditoría. El desarrollo integró pipelines de CI/CD avanzados, aislamiento de logs asíncronos y testing hermético con savepoints, habilitando una entrega de software segura y acelerada.</w:t>
      </w:r>
    </w:p>
    <w:p>
      <w:r>
        <w:t>ENGLISH: KalliCode is an agentic software ecosystem designed for regulated corporate environments, addressing the risk of intellectual property leaks in generative AI adoption. Through a multi-tenant SaaS architecture, zero-cloud orchestration (Docker, Azurite), and strict Row-Level Security (RLS) policies in PostgreSQL, the project guarantees data sovereignty and audit immutability. The development integrated advanced CI/CD pipelines, asynchronous log isolation, and hermetic testing using savepoints, enabling secure and accelerated software delivery.</w:t>
      </w:r>
    </w:p>
    <w:p>
      <w:pPr>
        <w:pStyle w:val="Heading1"/>
      </w:pPr>
      <w:r>
        <w:t>1. Relevancia y Objetivos</w:t>
      </w:r>
    </w:p>
    <w:p>
      <w:r>
        <w:t>Relevancia: Soluciona el cuello de botella de adopción de IA en Fintech/Healthtech proveyendo una Célula Agéntica donde los agentes generan código confinados en un Sandbox, respaldados por gobernanza inmutable (Write Once, Read Many).</w:t>
      </w:r>
    </w:p>
    <w:p>
      <w:r>
        <w:t>Objetivo General: Establecer la infraestructura de plataforma y los mecanismos de confianza para el Ecosistema KalliCode, garantizando un entorno de desarrollo local automatizado, aislamiento multi-tenant inexpugnable y pipelines de gobernanza automáticos.</w:t>
      </w:r>
    </w:p>
    <w:p>
      <w:r>
        <w:t>Objetivos Específicos: (1) Eliminar atributos de evasión BYPASSRLS e inyectar RLS estricto. (2) Aislar trazas operativas (Logs JSON) concurrentes. (3) Proveer un entorno de pruebas con aislamiento global y SAVEPOINTS.</w:t>
      </w:r>
    </w:p>
    <w:p>
      <w:pPr>
        <w:pStyle w:val="Heading1"/>
      </w:pPr>
      <w:r>
        <w:t>2. Metodología y Desarrollo</w:t>
      </w:r>
    </w:p>
    <w:p>
      <w:r>
        <w:t>Metodología: Kanban adaptado (WIP=3). Maximizó el flujo continuo de entregas apoyándose en compuertas de calidad CI/CD (Ruff, Mypy, Pytest).</w:t>
      </w:r>
    </w:p>
    <w:p>
      <w:r>
        <w:t>Dificultades y Facilitadores: La modularización provocó colisiones entre las pruebas de IA y el aislamiento RLS (CR-KC-001). Esto se solucionó refactorizando la arquitectura de testing (PR #67) para usar transacciones anidadas, logrando pruebas veloces sin comprometer la base de datos.</w:t>
      </w:r>
    </w:p>
    <w:p>
      <w:pPr>
        <w:pStyle w:val="Heading1"/>
      </w:pPr>
      <w:r>
        <w:t>3. Evidencias</w:t>
      </w:r>
    </w:p>
    <w:p>
      <w:r>
        <w:t>Se validó la robustez de la arquitectura mediante GitHub Actions. Las evidencias clave incluyen las Pull Requests aprobadas: PR #91 (Validación BYPASSRLS), PR #137 (Aislamiento de Logs asíncronos), y PR #67 (Aislamiento con Savepoints). (Ver Anexo: Plan y Casos de Prueba).</w:t>
      </w:r>
    </w:p>
    <w:p>
      <w:pPr>
        <w:pStyle w:val="Heading1"/>
      </w:pPr>
      <w:r>
        <w:t>4. Conclusiones y Reflexión Individual</w:t>
      </w:r>
    </w:p>
    <w:p>
      <w:r>
        <w:t>CONCLUSIONS (English Only):</w:t>
      </w:r>
    </w:p>
    <w:p>
      <w:r>
        <w:t>In conclusion, the implementation of KalliCode successfully demonstrated that strict data sovereignty and rapid AI-driven development can seamlessly coexist. By enforcing Row-Level Security directly at the PostgreSQL engine level and meticulously removing operational bypass privileges (BYPASSRLS), we established an impenetrable multi-tenant architecture. Furthermore, resolving the integration conflicts through hermetic testing with database savepoints highlighted the robustness of our CI/CD pipelines. This project validates that enterprise-grade security protocols do not hinder agility when engineered through automated, local, and zero-cloud environments.</w:t>
      </w:r>
    </w:p>
    <w:p/>
    <w:p>
      <w:r>
        <w:t>REFLECTION (English Only):</w:t>
      </w:r>
    </w:p>
    <w:p>
      <w:r>
        <w:t>Throughout this Phase 2, my role as Database and Tenancy Lead has profoundly shaped my professional trajectory. Tackling complex challenges, such as asynchronous log isolation and transaction confinement, shifted my perspective from traditional software development towards Site Reliability Engineering (SRE) and DevOps architecture. Defending critical security requirements during team conflicts taught me the importance of technical negotiation and uncompromising data governance. I am now fully projected to pursue advanced roles in cloud infrastructure, database administration, and secure systems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