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98AEA" w14:textId="77777777" w:rsidR="00474F18" w:rsidRDefault="00000000">
      <w:pPr>
        <w:pStyle w:val="Ttulo"/>
      </w:pPr>
      <w:r>
        <w:t>ACTAS DE REUNIÓN - FASE 2</w:t>
      </w:r>
    </w:p>
    <w:p w14:paraId="6FA2EDAD" w14:textId="77777777" w:rsidR="00474F18" w:rsidRDefault="00000000">
      <w:pPr>
        <w:pStyle w:val="Ttulo1"/>
      </w:pPr>
      <w:r>
        <w:t>ACTA 01: Resolución CR-KC-001 (Aislamiento Transaccional para Pruebas)</w:t>
      </w:r>
    </w:p>
    <w:p w14:paraId="5884E84D" w14:textId="38520610" w:rsidR="00474F18" w:rsidRDefault="00000000">
      <w:r>
        <w:t xml:space="preserve">Fecha: 12 de Septiembre de 2026. Asistentes: Ana Panes, Alejandro González, </w:t>
      </w:r>
      <w:r w:rsidR="00FF6758">
        <w:t xml:space="preserve">Luis ibañez, </w:t>
      </w:r>
      <w:r>
        <w:t>Equipo Fábrica.</w:t>
      </w:r>
    </w:p>
    <w:p w14:paraId="7DD0C5E2" w14:textId="77777777" w:rsidR="00474F18" w:rsidRDefault="00000000">
      <w:r>
        <w:t>Conflicto: Pruebas automatizadas del Equipo Fábrica fallan al interactuar con el RLS habilitado.</w:t>
      </w:r>
    </w:p>
    <w:p w14:paraId="4D446F3A" w14:textId="77777777" w:rsidR="00474F18" w:rsidRDefault="00000000">
      <w:r>
        <w:t>Acuerdo: (1) Mantener el RLS inalterable y sin atributos BYPASSRLS (Ana Panes). (2) Implementar un framework de test (PR #67) usando SAVEPOINTS transaccionales para simular contextos de tenant efímeros que se limpian tras cada test.</w:t>
      </w:r>
    </w:p>
    <w:p w14:paraId="556BF549" w14:textId="77777777" w:rsidR="00474F18" w:rsidRDefault="00000000">
      <w:pPr>
        <w:pStyle w:val="Ttulo1"/>
      </w:pPr>
      <w:r>
        <w:t>ACTA 02: Gobernanza de Observabilidad y Logs Asíncronos</w:t>
      </w:r>
    </w:p>
    <w:p w14:paraId="29ADDCF8" w14:textId="56BF668C" w:rsidR="00474F18" w:rsidRDefault="00000000">
      <w:r>
        <w:t>Fecha: 25 de Septiembre de 2026. Asistentes: Ana Panes, Alejandro González</w:t>
      </w:r>
      <w:r w:rsidR="00FF6758">
        <w:t>, Luis ibañez</w:t>
      </w:r>
      <w:r>
        <w:t>.</w:t>
      </w:r>
    </w:p>
    <w:p w14:paraId="0E02DBB5" w14:textId="77777777" w:rsidR="00474F18" w:rsidRDefault="00000000">
      <w:r>
        <w:t>Tema: Riesgo de Cross-Tenant Log Bleeding por concurrencia asíncrona.</w:t>
      </w:r>
    </w:p>
    <w:p w14:paraId="1EB3586B" w14:textId="77777777" w:rsidR="00474F18" w:rsidRDefault="00000000">
      <w:r>
        <w:t>Acuerdo: Implementar logger estructurado (structlog) e inyectar contextvars. Ana Panes aprueba la validación exhaustiva empírica (PR #137) que demuestra cero cruce de IDs de inquilinos en alta concurrencia.</w:t>
      </w:r>
    </w:p>
    <w:sectPr w:rsidR="00474F1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6989682">
    <w:abstractNumId w:val="8"/>
  </w:num>
  <w:num w:numId="2" w16cid:durableId="1630085866">
    <w:abstractNumId w:val="6"/>
  </w:num>
  <w:num w:numId="3" w16cid:durableId="594830125">
    <w:abstractNumId w:val="5"/>
  </w:num>
  <w:num w:numId="4" w16cid:durableId="1237279248">
    <w:abstractNumId w:val="4"/>
  </w:num>
  <w:num w:numId="5" w16cid:durableId="57293234">
    <w:abstractNumId w:val="7"/>
  </w:num>
  <w:num w:numId="6" w16cid:durableId="1482766514">
    <w:abstractNumId w:val="3"/>
  </w:num>
  <w:num w:numId="7" w16cid:durableId="314385171">
    <w:abstractNumId w:val="2"/>
  </w:num>
  <w:num w:numId="8" w16cid:durableId="2041321015">
    <w:abstractNumId w:val="1"/>
  </w:num>
  <w:num w:numId="9" w16cid:durableId="665549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F18"/>
    <w:rsid w:val="00725F0B"/>
    <w:rsid w:val="00AA1D8D"/>
    <w:rsid w:val="00B47730"/>
    <w:rsid w:val="00CB0664"/>
    <w:rsid w:val="00FC693F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303BC5"/>
  <w14:defaultImageDpi w14:val="300"/>
  <w15:docId w15:val="{AF128B5B-4A4A-4DEE-9DA6-C2D176EE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LUISA PANES TESSINI</cp:lastModifiedBy>
  <cp:revision>2</cp:revision>
  <dcterms:created xsi:type="dcterms:W3CDTF">2013-12-23T23:15:00Z</dcterms:created>
  <dcterms:modified xsi:type="dcterms:W3CDTF">2026-10-24T00:08:00Z</dcterms:modified>
  <cp:category/>
</cp:coreProperties>
</file>