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E3508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bookmarkStart w:id="0" w:name="_GoBack"/>
    <w:bookmarkEnd w:id="0"/>
    <w:p w:rsidR="006E3508" w:rsidRDefault="006E350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r w:rsidRPr="00F93B41">
        <w:rPr>
          <w:rStyle w:val="Hipervnculo"/>
          <w:noProof/>
        </w:rPr>
        <w:fldChar w:fldCharType="begin"/>
      </w:r>
      <w:r w:rsidRPr="00F93B41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"_Toc529487284"</w:instrText>
      </w:r>
      <w:r w:rsidRPr="00F93B41">
        <w:rPr>
          <w:rStyle w:val="Hipervnculo"/>
          <w:noProof/>
        </w:rPr>
        <w:instrText xml:space="preserve"> </w:instrText>
      </w:r>
      <w:r w:rsidRPr="00F93B41">
        <w:rPr>
          <w:rStyle w:val="Hipervnculo"/>
          <w:noProof/>
        </w:rPr>
      </w:r>
      <w:r w:rsidRPr="00F93B41">
        <w:rPr>
          <w:rStyle w:val="Hipervnculo"/>
          <w:noProof/>
        </w:rPr>
        <w:fldChar w:fldCharType="separate"/>
      </w:r>
      <w:r w:rsidRPr="00F93B41">
        <w:rPr>
          <w:rStyle w:val="Hipervnculo"/>
          <w:rFonts w:ascii="Arial" w:hAnsi="Arial" w:cs="Arial"/>
          <w:noProof/>
        </w:rPr>
        <w:t>1.</w:t>
      </w:r>
      <w:r>
        <w:rPr>
          <w:rFonts w:eastAsiaTheme="minorEastAsia"/>
          <w:noProof/>
          <w:lang w:eastAsia="es-PE"/>
        </w:rPr>
        <w:tab/>
      </w:r>
      <w:r w:rsidRPr="00F93B41">
        <w:rPr>
          <w:rStyle w:val="Hipervnculo"/>
          <w:rFonts w:ascii="Arial" w:hAnsi="Arial" w:cs="Arial"/>
          <w:noProof/>
        </w:rPr>
        <w:t>Introducción: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_Toc529487284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F93B41">
        <w:rPr>
          <w:rStyle w:val="Hipervnculo"/>
          <w:noProof/>
        </w:rPr>
        <w:fldChar w:fldCharType="end"/>
      </w:r>
    </w:p>
    <w:p w:rsidR="006E3508" w:rsidRDefault="006E350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5" w:history="1">
        <w:r w:rsidRPr="00F93B41">
          <w:rPr>
            <w:rStyle w:val="Hipervnculo"/>
            <w:rFonts w:ascii="Arial" w:hAnsi="Arial" w:cs="Arial"/>
            <w:noProof/>
          </w:rPr>
          <w:t>2.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Gestión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6" w:history="1">
        <w:r w:rsidRPr="00F93B41">
          <w:rPr>
            <w:rStyle w:val="Hipervnculo"/>
            <w:rFonts w:ascii="Arial" w:hAnsi="Arial" w:cs="Arial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7" w:history="1">
        <w:r w:rsidRPr="00F93B41">
          <w:rPr>
            <w:rStyle w:val="Hipervnculo"/>
            <w:rFonts w:ascii="Arial" w:hAnsi="Arial" w:cs="Arial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8" w:history="1">
        <w:r w:rsidRPr="00F93B41">
          <w:rPr>
            <w:rStyle w:val="Hipervnculo"/>
            <w:rFonts w:ascii="Arial" w:hAnsi="Arial" w:cs="Arial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89" w:history="1">
        <w:r w:rsidRPr="00F93B41">
          <w:rPr>
            <w:rStyle w:val="Hipervnculo"/>
            <w:rFonts w:ascii="Arial" w:hAnsi="Arial" w:cs="Arial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0" w:history="1">
        <w:r w:rsidRPr="00F93B41">
          <w:rPr>
            <w:rStyle w:val="Hipervnculo"/>
            <w:rFonts w:ascii="Arial" w:hAnsi="Arial" w:cs="Arial"/>
            <w:noProof/>
          </w:rPr>
          <w:t>3.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Actividades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1" w:history="1">
        <w:r w:rsidRPr="00F93B41">
          <w:rPr>
            <w:rStyle w:val="Hipervnculo"/>
            <w:rFonts w:ascii="Arial" w:hAnsi="Arial" w:cs="Arial"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2" w:history="1">
        <w:r w:rsidRPr="00F93B41">
          <w:rPr>
            <w:rStyle w:val="Hipervnculo"/>
            <w:rFonts w:ascii="Arial" w:hAnsi="Arial" w:cs="Arial"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3" w:history="1">
        <w:r w:rsidRPr="00F93B41">
          <w:rPr>
            <w:rStyle w:val="Hipervnculo"/>
            <w:rFonts w:ascii="Arial" w:hAnsi="Arial" w:cs="Arial"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4" w:history="1">
        <w:r w:rsidRPr="00F93B41">
          <w:rPr>
            <w:rStyle w:val="Hipervnculo"/>
            <w:rFonts w:ascii="Arial" w:hAnsi="Arial" w:cs="Arial"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5" w:history="1">
        <w:r w:rsidRPr="00F93B41">
          <w:rPr>
            <w:rStyle w:val="Hipervnculo"/>
            <w:rFonts w:ascii="Arial" w:hAnsi="Arial" w:cs="Arial"/>
            <w:noProof/>
          </w:rPr>
          <w:t>3.2.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6" w:history="1">
        <w:r w:rsidRPr="00F93B41">
          <w:rPr>
            <w:rStyle w:val="Hipervnculo"/>
            <w:rFonts w:ascii="Arial" w:hAnsi="Arial" w:cs="Arial"/>
            <w:noProof/>
          </w:rPr>
          <w:t>3.2.1.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508" w:rsidRDefault="006E350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297" w:history="1">
        <w:r w:rsidRPr="00F93B41">
          <w:rPr>
            <w:rStyle w:val="Hipervnculo"/>
            <w:rFonts w:ascii="Arial" w:hAnsi="Arial" w:cs="Arial"/>
            <w:noProof/>
          </w:rPr>
          <w:t>3.2.2.</w:t>
        </w:r>
        <w:r>
          <w:rPr>
            <w:rFonts w:eastAsiaTheme="minorEastAsia"/>
            <w:noProof/>
            <w:lang w:eastAsia="es-PE"/>
          </w:rPr>
          <w:tab/>
        </w:r>
        <w:r w:rsidRPr="00F93B41">
          <w:rPr>
            <w:rStyle w:val="Hipervnculo"/>
            <w:rFonts w:ascii="Arial" w:hAnsi="Arial" w:cs="Arial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1" w:name="_Toc529487284"/>
      <w:r w:rsidRPr="008C37AB">
        <w:rPr>
          <w:rFonts w:ascii="Arial" w:hAnsi="Arial" w:cs="Arial"/>
          <w:szCs w:val="24"/>
        </w:rPr>
        <w:lastRenderedPageBreak/>
        <w:t>Introducción:</w:t>
      </w:r>
      <w:bookmarkEnd w:id="1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2" w:name="_Toc529487285"/>
      <w:r w:rsidRPr="008C37AB">
        <w:rPr>
          <w:rFonts w:ascii="Arial" w:hAnsi="Arial" w:cs="Arial"/>
          <w:szCs w:val="24"/>
        </w:rPr>
        <w:lastRenderedPageBreak/>
        <w:t>Gestión de la SCM:</w:t>
      </w:r>
      <w:bookmarkEnd w:id="2"/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3" w:name="_Toc529487286"/>
      <w:r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3"/>
        <w:rPr>
          <w:rFonts w:ascii="Arial" w:hAnsi="Arial" w:cs="Arial"/>
          <w:b w:val="0"/>
        </w:rPr>
      </w:pPr>
      <w:bookmarkStart w:id="4" w:name="_Toc529487287"/>
      <w:r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1C271B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1C271B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1A11D8" w:rsidP="001A11D8">
      <w:pPr>
        <w:pStyle w:val="Ttulo3"/>
        <w:rPr>
          <w:rFonts w:ascii="Arial" w:hAnsi="Arial" w:cs="Arial"/>
        </w:rPr>
      </w:pPr>
      <w:bookmarkStart w:id="5" w:name="_Toc529487288"/>
      <w:r w:rsidRPr="008C37AB">
        <w:rPr>
          <w:rFonts w:ascii="Arial" w:hAnsi="Arial" w:cs="Arial"/>
        </w:rPr>
        <w:lastRenderedPageBreak/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6" w:name="_Toc529487289"/>
      <w:r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7" w:name="_Toc529487290"/>
      <w:r w:rsidRPr="008C37AB">
        <w:rPr>
          <w:rFonts w:ascii="Arial" w:hAnsi="Arial" w:cs="Arial"/>
          <w:szCs w:val="24"/>
        </w:rPr>
        <w:lastRenderedPageBreak/>
        <w:t>Actividades de la SCM:</w:t>
      </w:r>
      <w:bookmarkEnd w:id="7"/>
    </w:p>
    <w:p w:rsidR="006B3A7D" w:rsidRPr="008C37AB" w:rsidRDefault="00810BA9">
      <w:pPr>
        <w:pStyle w:val="Ttulo3"/>
        <w:numPr>
          <w:ilvl w:val="1"/>
          <w:numId w:val="1"/>
        </w:numPr>
        <w:rPr>
          <w:rFonts w:ascii="Arial" w:hAnsi="Arial" w:cs="Arial"/>
          <w:b w:val="0"/>
        </w:rPr>
      </w:pPr>
      <w:bookmarkStart w:id="8" w:name="_Toc529487291"/>
      <w:r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810BA9" w:rsidP="00897687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9" w:name="_Toc529487292"/>
      <w:r w:rsidRPr="008C37AB">
        <w:rPr>
          <w:rFonts w:ascii="Arial" w:hAnsi="Arial" w:cs="Arial"/>
          <w:szCs w:val="24"/>
        </w:rPr>
        <w:t>Cuadro con los elementos clasificados.</w:t>
      </w:r>
      <w:bookmarkEnd w:id="9"/>
      <w:r w:rsidRPr="008C37AB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355"/>
        <w:gridCol w:w="1648"/>
        <w:gridCol w:w="1467"/>
        <w:gridCol w:w="1574"/>
      </w:tblGrid>
      <w:tr w:rsidR="00897687" w:rsidRPr="008C37AB" w:rsidTr="006E3508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0" w:name="_Toc529487293"/>
      <w:r w:rsidRPr="008C37AB">
        <w:rPr>
          <w:rFonts w:ascii="Arial" w:hAnsi="Arial" w:cs="Arial"/>
          <w:szCs w:val="24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1" w:name="_Toc529487294"/>
      <w:r w:rsidRPr="008C37AB">
        <w:rPr>
          <w:rFonts w:ascii="Arial" w:hAnsi="Arial" w:cs="Arial"/>
          <w:szCs w:val="24"/>
        </w:rPr>
        <w:t xml:space="preserve">Cuadro de </w:t>
      </w:r>
      <w:proofErr w:type="spellStart"/>
      <w:r w:rsidRPr="008C37AB">
        <w:rPr>
          <w:rFonts w:ascii="Arial" w:hAnsi="Arial" w:cs="Arial"/>
          <w:szCs w:val="24"/>
        </w:rPr>
        <w:t>Item</w:t>
      </w:r>
      <w:proofErr w:type="spellEnd"/>
      <w:r w:rsidRPr="008C37AB">
        <w:rPr>
          <w:rFonts w:ascii="Arial" w:hAnsi="Arial" w:cs="Arial"/>
          <w:szCs w:val="24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1A4EAA" w:rsidP="006E3508">
      <w:pPr>
        <w:pStyle w:val="Ttulo3"/>
        <w:numPr>
          <w:ilvl w:val="1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2" w:name="_Toc529487295"/>
      <w:r w:rsidRPr="008C37AB">
        <w:rPr>
          <w:rFonts w:ascii="Arial" w:hAnsi="Arial" w:cs="Arial"/>
        </w:rPr>
        <w:t>Control</w:t>
      </w:r>
      <w:bookmarkEnd w:id="12"/>
    </w:p>
    <w:p w:rsidR="00685BAB" w:rsidRPr="008C37AB" w:rsidRDefault="001A4EAA" w:rsidP="006E3508">
      <w:pPr>
        <w:pStyle w:val="Ttulo4"/>
        <w:numPr>
          <w:ilvl w:val="2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3" w:name="_Toc529487296"/>
      <w:r w:rsidRPr="008C37AB">
        <w:rPr>
          <w:rFonts w:ascii="Arial" w:hAnsi="Arial" w:cs="Arial"/>
          <w:szCs w:val="24"/>
        </w:rPr>
        <w:t>Definición de línea base</w:t>
      </w:r>
      <w:bookmarkEnd w:id="13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hitos según el cronograma</w:t>
      </w:r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lastRenderedPageBreak/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lastRenderedPageBreak/>
        <w:t>Definición de línea base</w:t>
      </w: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685BAB" w:rsidP="001A4EAA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4" w:name="_Toc529487297"/>
      <w:r w:rsidRPr="008C37AB">
        <w:rPr>
          <w:rFonts w:ascii="Arial" w:hAnsi="Arial" w:cs="Arial"/>
          <w:szCs w:val="24"/>
        </w:rPr>
        <w:t>Definición de la estructura de las librerías.</w:t>
      </w:r>
      <w:bookmarkEnd w:id="14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lastRenderedPageBreak/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C37AB" w:rsidTr="006E3508">
        <w:tc>
          <w:tcPr>
            <w:tcW w:w="3818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921"/>
      </w:tblGrid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trabajo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soporte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Repositorio de software</w:t>
      </w:r>
    </w:p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26F" w:rsidRDefault="009D426F">
      <w:pPr>
        <w:spacing w:after="0" w:line="240" w:lineRule="auto"/>
      </w:pPr>
      <w:r>
        <w:separator/>
      </w:r>
    </w:p>
  </w:endnote>
  <w:endnote w:type="continuationSeparator" w:id="0">
    <w:p w:rsidR="009D426F" w:rsidRDefault="009D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26F" w:rsidRDefault="009D426F">
      <w:pPr>
        <w:spacing w:after="0" w:line="240" w:lineRule="auto"/>
      </w:pPr>
      <w:r>
        <w:separator/>
      </w:r>
    </w:p>
  </w:footnote>
  <w:footnote w:type="continuationSeparator" w:id="0">
    <w:p w:rsidR="009D426F" w:rsidRDefault="009D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A76A0"/>
    <w:rsid w:val="000C4A5E"/>
    <w:rsid w:val="00106CAA"/>
    <w:rsid w:val="00125F3A"/>
    <w:rsid w:val="001A11D8"/>
    <w:rsid w:val="001A4EAA"/>
    <w:rsid w:val="001B07B8"/>
    <w:rsid w:val="001C271B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6E3508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C37AB"/>
    <w:rsid w:val="008E0A3F"/>
    <w:rsid w:val="008E4740"/>
    <w:rsid w:val="00927653"/>
    <w:rsid w:val="009B0B3C"/>
    <w:rsid w:val="009C57F1"/>
    <w:rsid w:val="009D426F"/>
    <w:rsid w:val="009E0780"/>
    <w:rsid w:val="00A431E6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88BD6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CCC94-4665-4A9D-AEAB-D2D35F47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2408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35</cp:revision>
  <dcterms:created xsi:type="dcterms:W3CDTF">2018-09-20T05:28:00Z</dcterms:created>
  <dcterms:modified xsi:type="dcterms:W3CDTF">2018-11-09T05:39:00Z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