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</w:t>
      </w:r>
      <w:bookmarkStart w:id="0" w:name="_GoBack"/>
      <w:bookmarkEnd w:id="0"/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e los productos de software en desarrollo y mantenimiento en los repositorios definidos.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>
        <w:t>Roles y responsabilidades (cantidad de roles)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6B29CF"/>
    <w:rsid w:val="007E0F51"/>
    <w:rsid w:val="008E0A3F"/>
    <w:rsid w:val="008E4740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3</cp:revision>
  <dcterms:created xsi:type="dcterms:W3CDTF">2018-09-20T05:28:00Z</dcterms:created>
  <dcterms:modified xsi:type="dcterms:W3CDTF">2018-09-20T05:41:00Z</dcterms:modified>
</cp:coreProperties>
</file>