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E2291" w14:textId="77777777" w:rsidR="00D430B3" w:rsidRDefault="00D430B3" w:rsidP="00D430B3">
      <w:pPr>
        <w:jc w:val="center"/>
        <w:rPr>
          <w:sz w:val="40"/>
          <w:lang w:val="es-ES"/>
        </w:rPr>
      </w:pPr>
    </w:p>
    <w:p w14:paraId="76A0FC60" w14:textId="77777777" w:rsidR="00D430B3" w:rsidRDefault="00D430B3" w:rsidP="00D430B3">
      <w:pPr>
        <w:jc w:val="center"/>
        <w:rPr>
          <w:sz w:val="40"/>
          <w:lang w:val="es-ES"/>
        </w:rPr>
      </w:pPr>
    </w:p>
    <w:p w14:paraId="18FED7B4" w14:textId="77777777" w:rsidR="00D430B3" w:rsidRDefault="00D430B3" w:rsidP="00D430B3">
      <w:pPr>
        <w:jc w:val="center"/>
        <w:rPr>
          <w:sz w:val="40"/>
          <w:lang w:val="es-ES"/>
        </w:rPr>
      </w:pPr>
    </w:p>
    <w:p w14:paraId="03A5CC5E" w14:textId="77777777" w:rsidR="00D430B3" w:rsidRDefault="00D430B3" w:rsidP="00D430B3">
      <w:pPr>
        <w:jc w:val="center"/>
        <w:rPr>
          <w:sz w:val="40"/>
          <w:lang w:val="es-ES"/>
        </w:rPr>
      </w:pPr>
    </w:p>
    <w:p w14:paraId="0A9DD990" w14:textId="77777777" w:rsidR="00D430B3" w:rsidRDefault="00D430B3" w:rsidP="00D430B3">
      <w:pPr>
        <w:jc w:val="center"/>
        <w:rPr>
          <w:sz w:val="40"/>
          <w:lang w:val="es-ES"/>
        </w:rPr>
      </w:pPr>
    </w:p>
    <w:p w14:paraId="64B0319E" w14:textId="77777777" w:rsidR="00D430B3" w:rsidRDefault="00D430B3" w:rsidP="00D430B3">
      <w:pPr>
        <w:jc w:val="center"/>
        <w:rPr>
          <w:sz w:val="40"/>
          <w:lang w:val="es-ES"/>
        </w:rPr>
      </w:pPr>
    </w:p>
    <w:p w14:paraId="566C5F1A" w14:textId="77777777" w:rsidR="00D430B3" w:rsidRDefault="00D430B3" w:rsidP="00D430B3">
      <w:pPr>
        <w:jc w:val="center"/>
        <w:rPr>
          <w:sz w:val="40"/>
          <w:lang w:val="es-ES"/>
        </w:rPr>
      </w:pPr>
    </w:p>
    <w:p w14:paraId="16894715" w14:textId="77777777" w:rsidR="00D430B3" w:rsidRPr="00F973B6" w:rsidRDefault="00D430B3" w:rsidP="00D430B3">
      <w:pPr>
        <w:jc w:val="center"/>
        <w:rPr>
          <w:sz w:val="48"/>
          <w:lang w:val="es-ES"/>
        </w:rPr>
      </w:pPr>
      <w:r w:rsidRPr="00F973B6">
        <w:rPr>
          <w:sz w:val="48"/>
          <w:lang w:val="es-ES"/>
        </w:rPr>
        <w:t xml:space="preserve">PLAN DE GESTION </w:t>
      </w:r>
    </w:p>
    <w:p w14:paraId="2B78B3EB" w14:textId="77777777" w:rsidR="00D430B3" w:rsidRPr="00F973B6" w:rsidRDefault="00D430B3" w:rsidP="00D430B3">
      <w:pPr>
        <w:jc w:val="center"/>
        <w:rPr>
          <w:sz w:val="48"/>
          <w:lang w:val="es-ES"/>
        </w:rPr>
      </w:pPr>
      <w:r w:rsidRPr="00F973B6">
        <w:rPr>
          <w:sz w:val="48"/>
          <w:lang w:val="es-ES"/>
        </w:rPr>
        <w:t>DE LA CONFIGURACION</w:t>
      </w:r>
    </w:p>
    <w:p w14:paraId="509AF631" w14:textId="77777777" w:rsidR="00D430B3" w:rsidRDefault="00D430B3" w:rsidP="00D430B3">
      <w:pPr>
        <w:jc w:val="center"/>
        <w:rPr>
          <w:lang w:val="es-ES"/>
        </w:rPr>
      </w:pPr>
    </w:p>
    <w:p w14:paraId="63E39C00" w14:textId="77777777" w:rsidR="00D430B3" w:rsidRPr="00F973B6" w:rsidRDefault="00D430B3" w:rsidP="00D430B3">
      <w:pPr>
        <w:jc w:val="center"/>
        <w:rPr>
          <w:sz w:val="32"/>
          <w:lang w:val="es-ES"/>
        </w:rPr>
      </w:pPr>
      <w:r w:rsidRPr="00F973B6">
        <w:rPr>
          <w:sz w:val="32"/>
          <w:lang w:val="es-ES"/>
        </w:rPr>
        <w:t>EMPRESA BIOSAC</w:t>
      </w:r>
    </w:p>
    <w:p w14:paraId="2DE4A2EA" w14:textId="77777777" w:rsidR="00D430B3" w:rsidRDefault="00D430B3" w:rsidP="00D430B3">
      <w:pPr>
        <w:jc w:val="center"/>
        <w:rPr>
          <w:lang w:val="es-ES"/>
        </w:rPr>
      </w:pPr>
    </w:p>
    <w:p w14:paraId="374AA89A" w14:textId="77777777" w:rsidR="00D430B3" w:rsidRDefault="00D430B3" w:rsidP="00D430B3">
      <w:pPr>
        <w:jc w:val="center"/>
        <w:rPr>
          <w:lang w:val="es-ES"/>
        </w:rPr>
      </w:pPr>
    </w:p>
    <w:p w14:paraId="4632DB42" w14:textId="77777777" w:rsidR="00D430B3" w:rsidRDefault="00D430B3" w:rsidP="00D430B3">
      <w:pPr>
        <w:jc w:val="center"/>
        <w:rPr>
          <w:lang w:val="es-ES"/>
        </w:rPr>
      </w:pPr>
    </w:p>
    <w:p w14:paraId="28125F79" w14:textId="77777777" w:rsidR="00D430B3" w:rsidRDefault="00D430B3" w:rsidP="00D430B3">
      <w:pPr>
        <w:jc w:val="center"/>
        <w:rPr>
          <w:lang w:val="es-ES"/>
        </w:rPr>
      </w:pPr>
    </w:p>
    <w:p w14:paraId="63E57F65" w14:textId="77777777" w:rsidR="00D430B3" w:rsidRDefault="00D430B3" w:rsidP="00D430B3">
      <w:pPr>
        <w:jc w:val="center"/>
        <w:rPr>
          <w:lang w:val="es-ES"/>
        </w:rPr>
      </w:pPr>
    </w:p>
    <w:p w14:paraId="765528BE" w14:textId="77777777" w:rsidR="00D430B3" w:rsidRDefault="00D430B3" w:rsidP="00D430B3">
      <w:pPr>
        <w:jc w:val="center"/>
        <w:rPr>
          <w:lang w:val="es-ES"/>
        </w:rPr>
      </w:pPr>
    </w:p>
    <w:p w14:paraId="3C09062C" w14:textId="77777777" w:rsidR="00D430B3" w:rsidRDefault="00D430B3" w:rsidP="00D430B3">
      <w:pPr>
        <w:jc w:val="center"/>
        <w:rPr>
          <w:lang w:val="es-ES"/>
        </w:rPr>
      </w:pPr>
    </w:p>
    <w:p w14:paraId="413E9748" w14:textId="77777777" w:rsidR="00D430B3" w:rsidRDefault="00D430B3" w:rsidP="00D430B3">
      <w:pPr>
        <w:jc w:val="center"/>
        <w:rPr>
          <w:lang w:val="es-ES"/>
        </w:rPr>
      </w:pPr>
    </w:p>
    <w:p w14:paraId="193E8212" w14:textId="77777777" w:rsidR="00D430B3" w:rsidRDefault="00D430B3" w:rsidP="00D430B3">
      <w:pPr>
        <w:jc w:val="center"/>
        <w:rPr>
          <w:lang w:val="es-ES"/>
        </w:rPr>
      </w:pPr>
    </w:p>
    <w:p w14:paraId="0E10A902" w14:textId="77777777" w:rsidR="00D430B3" w:rsidRDefault="00D430B3" w:rsidP="00D430B3">
      <w:pPr>
        <w:jc w:val="center"/>
        <w:rPr>
          <w:lang w:val="es-ES"/>
        </w:rPr>
      </w:pPr>
    </w:p>
    <w:p w14:paraId="30307B9B" w14:textId="77777777" w:rsidR="00D430B3" w:rsidRDefault="00D430B3" w:rsidP="00D430B3">
      <w:pPr>
        <w:jc w:val="center"/>
        <w:rPr>
          <w:lang w:val="es-ES"/>
        </w:rPr>
      </w:pPr>
    </w:p>
    <w:p w14:paraId="4F02C6E5" w14:textId="77777777" w:rsidR="00D430B3" w:rsidRDefault="00D430B3" w:rsidP="00D430B3">
      <w:pPr>
        <w:jc w:val="center"/>
        <w:rPr>
          <w:lang w:val="es-ES"/>
        </w:rPr>
      </w:pPr>
      <w:r>
        <w:rPr>
          <w:lang w:val="es-ES"/>
        </w:rPr>
        <w:t>Lima – Perú 2018</w:t>
      </w:r>
    </w:p>
    <w:p w14:paraId="38951403" w14:textId="77777777" w:rsidR="00D430B3" w:rsidRDefault="00D430B3" w:rsidP="00D430B3">
      <w:pPr>
        <w:jc w:val="center"/>
        <w:rPr>
          <w:lang w:val="es-ES"/>
        </w:rPr>
      </w:pPr>
    </w:p>
    <w:p w14:paraId="4A2D823E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4EEA657B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1143FB2D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78079881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56727EAE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0172AFC2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27CD5116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0AAC87E5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17E62570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7336EF39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1D844260" w14:textId="77777777" w:rsidR="00D430B3" w:rsidRPr="00F973B6" w:rsidRDefault="00D430B3" w:rsidP="00D430B3">
      <w:pPr>
        <w:pStyle w:val="NormalWeb"/>
        <w:jc w:val="both"/>
        <w:rPr>
          <w:rFonts w:ascii="Calibri" w:eastAsia="Calibri" w:hAnsi="Calibri"/>
          <w:color w:val="000000" w:themeColor="text1"/>
          <w:sz w:val="22"/>
          <w:szCs w:val="21"/>
          <w:lang w:eastAsia="en-US"/>
        </w:rPr>
      </w:pPr>
    </w:p>
    <w:p w14:paraId="75F324E1" w14:textId="77777777" w:rsidR="00D430B3" w:rsidRPr="00F973B6" w:rsidRDefault="00D430B3" w:rsidP="00D430B3">
      <w:pPr>
        <w:pStyle w:val="NormalWeb"/>
        <w:jc w:val="both"/>
        <w:rPr>
          <w:rFonts w:ascii="Calibri" w:eastAsia="Calibri" w:hAnsi="Calibri"/>
          <w:color w:val="000000" w:themeColor="text1"/>
          <w:sz w:val="22"/>
          <w:szCs w:val="21"/>
          <w:lang w:val="es-AR" w:eastAsia="en-US"/>
        </w:rPr>
      </w:pPr>
      <w:r w:rsidRPr="00F973B6">
        <w:rPr>
          <w:rFonts w:ascii="Calibri" w:eastAsia="Calibri" w:hAnsi="Calibri"/>
          <w:color w:val="000000" w:themeColor="text1"/>
          <w:sz w:val="22"/>
          <w:szCs w:val="21"/>
          <w:lang w:eastAsia="en-US"/>
        </w:rPr>
        <w:t>Este documento describe todas las actividades de Gestión de Configuración y Cambios que serán realizadas durante todo el ciclo de vida del proyecto.</w:t>
      </w:r>
    </w:p>
    <w:p w14:paraId="0BDABAEF" w14:textId="77777777" w:rsidR="00D430B3" w:rsidRDefault="00D430B3" w:rsidP="008E0A3F"/>
    <w:p w14:paraId="61422B94" w14:textId="77777777" w:rsidR="00D430B3" w:rsidRDefault="00D430B3" w:rsidP="008E0A3F"/>
    <w:p w14:paraId="428EB4EB" w14:textId="77777777" w:rsidR="00D430B3" w:rsidRDefault="00D430B3" w:rsidP="008E0A3F"/>
    <w:p w14:paraId="77BF6147" w14:textId="77777777" w:rsidR="00D430B3" w:rsidRDefault="00D430B3" w:rsidP="008E0A3F"/>
    <w:p w14:paraId="0403CCB2" w14:textId="77777777" w:rsidR="00D430B3" w:rsidRDefault="00D430B3" w:rsidP="008E0A3F"/>
    <w:p w14:paraId="20D06B5C" w14:textId="77777777" w:rsidR="00D430B3" w:rsidRDefault="00D430B3" w:rsidP="008E0A3F"/>
    <w:p w14:paraId="76B35FB7" w14:textId="77777777" w:rsidR="00D430B3" w:rsidRDefault="00D430B3" w:rsidP="008E0A3F"/>
    <w:p w14:paraId="5A6BF1A1" w14:textId="77777777" w:rsidR="00D430B3" w:rsidRDefault="00D430B3" w:rsidP="008E0A3F"/>
    <w:p w14:paraId="7A219AF5" w14:textId="77777777" w:rsidR="00D430B3" w:rsidRDefault="00D430B3" w:rsidP="008E0A3F"/>
    <w:p w14:paraId="7642914D" w14:textId="77777777" w:rsidR="00D430B3" w:rsidRDefault="00D430B3" w:rsidP="008E0A3F"/>
    <w:p w14:paraId="72CD312E" w14:textId="77777777" w:rsidR="00D430B3" w:rsidRDefault="00D430B3" w:rsidP="008E0A3F"/>
    <w:p w14:paraId="71E9F10F" w14:textId="77777777" w:rsidR="00C04430" w:rsidRDefault="00C044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FDB879" w14:textId="77777777" w:rsidR="00C04430" w:rsidRDefault="00C04430" w:rsidP="00C04430">
      <w:pPr>
        <w:jc w:val="center"/>
        <w:rPr>
          <w:b/>
          <w:sz w:val="20"/>
          <w:szCs w:val="20"/>
        </w:rPr>
      </w:pPr>
    </w:p>
    <w:p w14:paraId="0841CE26" w14:textId="0B4ABB3D" w:rsidR="00C04430" w:rsidRPr="00C04430" w:rsidRDefault="00C04430" w:rsidP="00C04430">
      <w:pPr>
        <w:jc w:val="center"/>
        <w:rPr>
          <w:b/>
          <w:sz w:val="20"/>
          <w:szCs w:val="20"/>
        </w:rPr>
      </w:pPr>
      <w:r w:rsidRPr="00C04430">
        <w:rPr>
          <w:b/>
          <w:sz w:val="20"/>
          <w:szCs w:val="20"/>
        </w:rPr>
        <w:t>Control de Cambios</w:t>
      </w:r>
    </w:p>
    <w:p w14:paraId="107B738D" w14:textId="349E7A8F" w:rsidR="00C04430" w:rsidRDefault="00C044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C04430" w14:paraId="09CA1A0A" w14:textId="77777777" w:rsidTr="00C04430">
        <w:tc>
          <w:tcPr>
            <w:tcW w:w="3539" w:type="dxa"/>
            <w:shd w:val="clear" w:color="auto" w:fill="B4C6E7" w:themeFill="accent1" w:themeFillTint="66"/>
          </w:tcPr>
          <w:p w14:paraId="2A7C109B" w14:textId="7D49E470" w:rsidR="00C04430" w:rsidRPr="00C04430" w:rsidRDefault="00C04430">
            <w:pPr>
              <w:rPr>
                <w:b/>
              </w:rPr>
            </w:pPr>
            <w:r>
              <w:rPr>
                <w:b/>
              </w:rPr>
              <w:t>AVANCE</w:t>
            </w:r>
          </w:p>
        </w:tc>
        <w:tc>
          <w:tcPr>
            <w:tcW w:w="2346" w:type="dxa"/>
            <w:shd w:val="clear" w:color="auto" w:fill="B4C6E7" w:themeFill="accent1" w:themeFillTint="66"/>
          </w:tcPr>
          <w:p w14:paraId="7495CAAB" w14:textId="0D77170A" w:rsidR="00C04430" w:rsidRPr="00C04430" w:rsidRDefault="00C0443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318D0373" w14:textId="423BA94D" w:rsidR="00C04430" w:rsidRPr="00C04430" w:rsidRDefault="00C0443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04430" w14:paraId="3D45AA2E" w14:textId="77777777" w:rsidTr="00C04430">
        <w:tc>
          <w:tcPr>
            <w:tcW w:w="3539" w:type="dxa"/>
          </w:tcPr>
          <w:p w14:paraId="29559B25" w14:textId="1B3849E6" w:rsidR="00C04430" w:rsidRDefault="00C04430">
            <w:r>
              <w:t>Plan Inicial</w:t>
            </w:r>
          </w:p>
        </w:tc>
        <w:tc>
          <w:tcPr>
            <w:tcW w:w="2346" w:type="dxa"/>
          </w:tcPr>
          <w:p w14:paraId="542DA60B" w14:textId="029EAA25" w:rsidR="00C04430" w:rsidRDefault="00C04430">
            <w:r>
              <w:t>1.0.0</w:t>
            </w:r>
          </w:p>
        </w:tc>
        <w:tc>
          <w:tcPr>
            <w:tcW w:w="2943" w:type="dxa"/>
          </w:tcPr>
          <w:p w14:paraId="7647D866" w14:textId="32769BFB" w:rsidR="00C04430" w:rsidRDefault="00C04430">
            <w:r>
              <w:t>20/09/2018</w:t>
            </w:r>
          </w:p>
        </w:tc>
      </w:tr>
      <w:tr w:rsidR="00C04430" w14:paraId="4D7514E4" w14:textId="77777777" w:rsidTr="00C04430">
        <w:tc>
          <w:tcPr>
            <w:tcW w:w="3539" w:type="dxa"/>
          </w:tcPr>
          <w:p w14:paraId="43EBA0AD" w14:textId="1C330243" w:rsidR="00C04430" w:rsidRDefault="00C04430" w:rsidP="00C04430">
            <w:r>
              <w:t>Actualización del documento total</w:t>
            </w:r>
          </w:p>
        </w:tc>
        <w:tc>
          <w:tcPr>
            <w:tcW w:w="2346" w:type="dxa"/>
          </w:tcPr>
          <w:p w14:paraId="417FEDA8" w14:textId="01931E90" w:rsidR="00C04430" w:rsidRDefault="00C04430" w:rsidP="00C04430">
            <w:r>
              <w:t>1.0.1</w:t>
            </w:r>
          </w:p>
        </w:tc>
        <w:tc>
          <w:tcPr>
            <w:tcW w:w="2943" w:type="dxa"/>
          </w:tcPr>
          <w:p w14:paraId="63CD1395" w14:textId="0FC400EC" w:rsidR="00C04430" w:rsidRDefault="00C04430" w:rsidP="00C04430">
            <w:r>
              <w:t>25/09/2018</w:t>
            </w:r>
          </w:p>
        </w:tc>
      </w:tr>
    </w:tbl>
    <w:p w14:paraId="0212D3DF" w14:textId="3A11D622" w:rsidR="00C04430" w:rsidRDefault="00C04430"/>
    <w:p w14:paraId="5950AF4A" w14:textId="77777777" w:rsidR="00C04430" w:rsidRDefault="00C04430">
      <w:r>
        <w:br w:type="page"/>
      </w:r>
    </w:p>
    <w:p w14:paraId="44E49571" w14:textId="36D1AF0E" w:rsidR="008E0A3F" w:rsidRDefault="008E0A3F" w:rsidP="008E0A3F">
      <w:pPr>
        <w:pStyle w:val="Ttulo2"/>
        <w:numPr>
          <w:ilvl w:val="0"/>
          <w:numId w:val="1"/>
        </w:numPr>
      </w:pPr>
      <w:r>
        <w:lastRenderedPageBreak/>
        <w:t>Introducción:</w:t>
      </w:r>
    </w:p>
    <w:p w14:paraId="63D1B104" w14:textId="77777777" w:rsidR="00D430B3" w:rsidRDefault="00D430B3" w:rsidP="00531F8F">
      <w:pPr>
        <w:spacing w:after="0" w:line="360" w:lineRule="auto"/>
        <w:jc w:val="both"/>
        <w:rPr>
          <w:rFonts w:ascii="Calibri" w:eastAsia="Times New Roman" w:hAnsi="Calibri" w:cs="Calibri"/>
          <w:sz w:val="20"/>
          <w:szCs w:val="20"/>
          <w:lang w:eastAsia="es-PE"/>
        </w:rPr>
      </w:pPr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 xml:space="preserve">La empresa BIO-SAC tiene en su cartera 05 proyectos de desarrollo de software en implementación y 06 en mantenimiento de los cuales tiene problemas en el control de versiones, documentación; </w:t>
      </w:r>
      <w:proofErr w:type="spellStart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>etc</w:t>
      </w:r>
      <w:proofErr w:type="spellEnd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 xml:space="preserve"> , así mismo no lleva un control de cambios, la  información solo es almacenada de manera local en un </w:t>
      </w:r>
      <w:proofErr w:type="spellStart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>fileserver</w:t>
      </w:r>
      <w:proofErr w:type="spellEnd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 xml:space="preserve">, no se tiene un repositorio actualizado en </w:t>
      </w:r>
      <w:proofErr w:type="spellStart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>cloud</w:t>
      </w:r>
      <w:proofErr w:type="spellEnd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>, además no se sabe si algún programado hizo algún cambio o sí borró algún archivo esto puede generar graves consecuencias desde la pérdida de información hasta problemas legales.</w:t>
      </w:r>
    </w:p>
    <w:p w14:paraId="4817A3FA" w14:textId="77777777" w:rsidR="008431C0" w:rsidRPr="00C04430" w:rsidRDefault="008431C0" w:rsidP="00531F8F">
      <w:pPr>
        <w:spacing w:after="0" w:line="360" w:lineRule="auto"/>
        <w:jc w:val="both"/>
        <w:rPr>
          <w:rFonts w:ascii="Calibri" w:eastAsia="Times New Roman" w:hAnsi="Calibri" w:cs="Calibri"/>
          <w:sz w:val="20"/>
          <w:szCs w:val="20"/>
          <w:lang w:eastAsia="es-PE"/>
        </w:rPr>
      </w:pPr>
      <w:bookmarkStart w:id="0" w:name="_GoBack"/>
      <w:bookmarkEnd w:id="0"/>
    </w:p>
    <w:p w14:paraId="6EE39B5A" w14:textId="23AF8278" w:rsidR="008E0A3F" w:rsidRDefault="00676012" w:rsidP="00676012">
      <w:pPr>
        <w:spacing w:after="0" w:line="360" w:lineRule="auto"/>
        <w:jc w:val="both"/>
        <w:rPr>
          <w:rFonts w:ascii="Calibri" w:eastAsia="Times New Roman" w:hAnsi="Calibri" w:cs="Calibri"/>
          <w:sz w:val="20"/>
          <w:szCs w:val="20"/>
          <w:lang w:eastAsia="es-PE"/>
        </w:rPr>
      </w:pPr>
      <w:r>
        <w:rPr>
          <w:rFonts w:ascii="Calibri" w:eastAsia="Times New Roman" w:hAnsi="Calibri" w:cs="Calibri"/>
          <w:sz w:val="20"/>
          <w:szCs w:val="20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</w:t>
      </w:r>
      <w:r w:rsidR="00031CEE">
        <w:rPr>
          <w:rFonts w:ascii="Calibri" w:eastAsia="Times New Roman" w:hAnsi="Calibri" w:cs="Calibri"/>
          <w:sz w:val="20"/>
          <w:szCs w:val="20"/>
          <w:lang w:eastAsia="es-PE"/>
        </w:rPr>
        <w:t>controlar la</w:t>
      </w:r>
      <w:r>
        <w:rPr>
          <w:rFonts w:ascii="Calibri" w:eastAsia="Times New Roman" w:hAnsi="Calibri" w:cs="Calibri"/>
          <w:sz w:val="20"/>
          <w:szCs w:val="20"/>
          <w:lang w:eastAsia="es-PE"/>
        </w:rPr>
        <w:t xml:space="preserve">s </w:t>
      </w:r>
      <w:r w:rsidR="00031CEE">
        <w:rPr>
          <w:rFonts w:ascii="Calibri" w:eastAsia="Times New Roman" w:hAnsi="Calibri" w:cs="Calibri"/>
          <w:sz w:val="20"/>
          <w:szCs w:val="20"/>
          <w:lang w:eastAsia="es-PE"/>
        </w:rPr>
        <w:t xml:space="preserve">versiones de los </w:t>
      </w:r>
      <w:r>
        <w:rPr>
          <w:rFonts w:ascii="Calibri" w:eastAsia="Times New Roman" w:hAnsi="Calibri" w:cs="Calibri"/>
          <w:sz w:val="20"/>
          <w:szCs w:val="20"/>
          <w:lang w:eastAsia="es-PE"/>
        </w:rPr>
        <w:t>releases de los productos de software</w:t>
      </w:r>
      <w:r w:rsidR="00031CEE">
        <w:rPr>
          <w:rFonts w:ascii="Calibri" w:eastAsia="Times New Roman" w:hAnsi="Calibri" w:cs="Calibri"/>
          <w:sz w:val="20"/>
          <w:szCs w:val="20"/>
          <w:lang w:eastAsia="es-PE"/>
        </w:rPr>
        <w:t>, para luego realizar el despliegue en producción.</w:t>
      </w:r>
    </w:p>
    <w:p w14:paraId="342AB508" w14:textId="77777777" w:rsidR="005B70B9" w:rsidRDefault="00031CEE" w:rsidP="00676012">
      <w:pPr>
        <w:spacing w:after="0" w:line="360" w:lineRule="auto"/>
        <w:jc w:val="both"/>
        <w:rPr>
          <w:rFonts w:ascii="Calibri" w:eastAsia="Times New Roman" w:hAnsi="Calibri" w:cs="Calibri"/>
          <w:sz w:val="20"/>
          <w:szCs w:val="20"/>
          <w:lang w:eastAsia="es-PE"/>
        </w:rPr>
      </w:pPr>
      <w:r>
        <w:rPr>
          <w:rFonts w:ascii="Calibri" w:eastAsia="Times New Roman" w:hAnsi="Calibri" w:cs="Calibri"/>
          <w:sz w:val="20"/>
          <w:szCs w:val="20"/>
          <w:lang w:eastAsia="es-PE"/>
        </w:rPr>
        <w:t>Cuando un cliente solicite cambios en algún producto de software o considera nuevos requisitos, estos cambios deben ser controlados según el presente plan,  esto de define en la Gestión de la SCM.</w:t>
      </w:r>
    </w:p>
    <w:p w14:paraId="1F2D0685" w14:textId="586DA71B" w:rsidR="00031CEE" w:rsidRPr="00676012" w:rsidRDefault="005B70B9" w:rsidP="00676012">
      <w:pPr>
        <w:spacing w:after="0" w:line="360" w:lineRule="auto"/>
        <w:jc w:val="both"/>
        <w:rPr>
          <w:rFonts w:ascii="Calibri" w:eastAsia="Times New Roman" w:hAnsi="Calibri" w:cs="Calibri"/>
          <w:sz w:val="20"/>
          <w:szCs w:val="20"/>
          <w:lang w:eastAsia="es-PE"/>
        </w:rPr>
      </w:pPr>
      <w:r>
        <w:rPr>
          <w:rFonts w:ascii="Calibri" w:eastAsia="Times New Roman" w:hAnsi="Calibri" w:cs="Calibri"/>
          <w:sz w:val="20"/>
          <w:szCs w:val="20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</w:t>
      </w:r>
      <w:r w:rsidR="00031CEE">
        <w:rPr>
          <w:rFonts w:ascii="Calibri" w:eastAsia="Times New Roman" w:hAnsi="Calibri" w:cs="Calibri"/>
          <w:sz w:val="20"/>
          <w:szCs w:val="20"/>
          <w:lang w:eastAsia="es-PE"/>
        </w:rPr>
        <w:t xml:space="preserve"> </w:t>
      </w:r>
    </w:p>
    <w:p w14:paraId="2CCBB50C" w14:textId="77777777" w:rsidR="008E0A3F" w:rsidRDefault="008E0A3F" w:rsidP="008E0A3F">
      <w:pPr>
        <w:pStyle w:val="Ttulo2"/>
        <w:numPr>
          <w:ilvl w:val="0"/>
          <w:numId w:val="1"/>
        </w:numPr>
      </w:pPr>
      <w:r>
        <w:t>Gestión de la SCM:</w:t>
      </w:r>
    </w:p>
    <w:p w14:paraId="1DED4FD3" w14:textId="77777777" w:rsidR="008E0A3F" w:rsidRDefault="008E0A3F" w:rsidP="008E0A3F">
      <w:pPr>
        <w:pStyle w:val="Ttulo3"/>
      </w:pPr>
      <w:r w:rsidRPr="004A03C9">
        <w:rPr>
          <w:b/>
        </w:rPr>
        <w:t>Roles y resp</w:t>
      </w:r>
      <w:r w:rsidR="00727E25" w:rsidRPr="004A03C9">
        <w:rPr>
          <w:b/>
        </w:rPr>
        <w:t>onsabilidades</w:t>
      </w:r>
    </w:p>
    <w:p w14:paraId="341C098D" w14:textId="77777777" w:rsidR="00A431E6" w:rsidRPr="00A431E6" w:rsidRDefault="00A431E6" w:rsidP="00A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B105F8" w:rsidRPr="00A431E6" w14:paraId="44F66869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2D08" w14:textId="77777777" w:rsidR="00B105F8" w:rsidRPr="00A431E6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75855" w14:textId="77777777" w:rsidR="00B105F8" w:rsidRPr="00A431E6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47849935" w14:textId="77777777" w:rsidR="00B105F8" w:rsidRPr="00A431E6" w:rsidRDefault="00B105F8" w:rsidP="0062517A">
            <w:pPr>
              <w:spacing w:after="0" w:line="288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CANT.</w:t>
            </w:r>
          </w:p>
        </w:tc>
      </w:tr>
      <w:tr w:rsidR="00B105F8" w:rsidRPr="00A431E6" w14:paraId="70AB8DFC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5C09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A194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A293" w14:textId="77777777" w:rsidR="00B105F8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3CDFCC40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B105F8" w:rsidRPr="00A431E6" w14:paraId="518806CB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2FB7B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45C5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773A" w14:textId="77777777"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249DB727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B105F8" w:rsidRPr="00A431E6" w14:paraId="371DCDA6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5A" w14:textId="77777777" w:rsidR="00B105F8" w:rsidRPr="00B105F8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B105F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16935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E53A" w14:textId="77777777"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</w:p>
          <w:p w14:paraId="176FCD25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  <w:t>2</w:t>
            </w:r>
          </w:p>
        </w:tc>
      </w:tr>
      <w:tr w:rsidR="00B105F8" w:rsidRPr="00A431E6" w14:paraId="67819881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1E8B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67AD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45FD" w14:textId="77777777"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11AAFB91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B105F8" w:rsidRPr="00A431E6" w14:paraId="7CC74BCC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47ADB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1647" w14:textId="75CAFCB9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r w:rsidR="00531F8F"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Librería</w:t>
            </w: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Release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versionamiento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58DE" w14:textId="77777777" w:rsidR="00B105F8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0CCF0389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</w:tbl>
    <w:p w14:paraId="2139DD52" w14:textId="77777777" w:rsidR="00C04430" w:rsidRDefault="00C04430" w:rsidP="008E0A3F">
      <w:pPr>
        <w:pStyle w:val="Ttulo3"/>
        <w:rPr>
          <w:b/>
        </w:rPr>
      </w:pPr>
    </w:p>
    <w:p w14:paraId="55C0FA60" w14:textId="43EC69DB" w:rsidR="008E0A3F" w:rsidRPr="002B5689" w:rsidRDefault="008E0A3F" w:rsidP="008E0A3F">
      <w:pPr>
        <w:pStyle w:val="Ttulo3"/>
        <w:rPr>
          <w:b/>
        </w:rPr>
      </w:pPr>
      <w:r w:rsidRPr="002B5689">
        <w:rPr>
          <w:b/>
        </w:rPr>
        <w:t>Políticas, Directrices y procedimientos</w:t>
      </w:r>
    </w:p>
    <w:p w14:paraId="797AB698" w14:textId="0B2B7236" w:rsidR="002B5689" w:rsidRDefault="002B5689" w:rsidP="00C04430">
      <w:pPr>
        <w:pStyle w:val="Prrafodelista"/>
        <w:numPr>
          <w:ilvl w:val="0"/>
          <w:numId w:val="3"/>
        </w:numPr>
      </w:pPr>
      <w:r>
        <w:t xml:space="preserve">Las políticas se encuentran en la siguiente ruta: </w:t>
      </w:r>
    </w:p>
    <w:p w14:paraId="5FD2FCE5" w14:textId="73BBDD7A" w:rsidR="002B5689" w:rsidRDefault="002B5689" w:rsidP="00C04430">
      <w:pPr>
        <w:pStyle w:val="Prrafodelista"/>
      </w:pPr>
      <w:r w:rsidRPr="002B5689">
        <w:t>SOFTPOLIZA\desarrollo\SISTCONT\</w:t>
      </w:r>
      <w:proofErr w:type="spellStart"/>
      <w:r w:rsidRPr="002B5689">
        <w:t>Gestion</w:t>
      </w:r>
      <w:proofErr w:type="spellEnd"/>
      <w:r>
        <w:t>\Politicas.docx</w:t>
      </w:r>
    </w:p>
    <w:p w14:paraId="3A547C5F" w14:textId="77777777" w:rsidR="002B5689" w:rsidRDefault="002B5689" w:rsidP="002B5689"/>
    <w:p w14:paraId="69C81D7A" w14:textId="77777777" w:rsidR="002B5689" w:rsidRDefault="002B5689" w:rsidP="00C04430">
      <w:pPr>
        <w:pStyle w:val="Prrafodelista"/>
        <w:numPr>
          <w:ilvl w:val="0"/>
          <w:numId w:val="3"/>
        </w:numPr>
      </w:pPr>
      <w:r>
        <w:t xml:space="preserve">Las directrices se encuentran en la siguiente ruta: </w:t>
      </w:r>
    </w:p>
    <w:p w14:paraId="7F9FA167" w14:textId="05297C39" w:rsidR="002B5689" w:rsidRDefault="002B5689" w:rsidP="00C04430">
      <w:pPr>
        <w:pStyle w:val="Prrafodelista"/>
      </w:pPr>
      <w:r w:rsidRPr="002B5689">
        <w:t>SOFTPOLIZA\desarrollo\SISTCONT\</w:t>
      </w:r>
      <w:proofErr w:type="spellStart"/>
      <w:r w:rsidRPr="002B5689">
        <w:t>Gestion</w:t>
      </w:r>
      <w:proofErr w:type="spellEnd"/>
      <w:r>
        <w:t>\</w:t>
      </w:r>
      <w:r w:rsidRPr="002B5689">
        <w:t>Directrices</w:t>
      </w:r>
      <w:r>
        <w:t>.docx</w:t>
      </w:r>
    </w:p>
    <w:p w14:paraId="0CB79278" w14:textId="77777777" w:rsidR="002B5689" w:rsidRDefault="002B5689" w:rsidP="002B5689"/>
    <w:p w14:paraId="1CC92AFB" w14:textId="5A062F61" w:rsidR="002B5689" w:rsidRDefault="002B5689" w:rsidP="00C04430">
      <w:pPr>
        <w:pStyle w:val="Prrafodelista"/>
        <w:numPr>
          <w:ilvl w:val="0"/>
          <w:numId w:val="3"/>
        </w:numPr>
      </w:pPr>
      <w:r>
        <w:t xml:space="preserve">Los procedimientos se encuentran en la siguiente ruta: </w:t>
      </w:r>
    </w:p>
    <w:p w14:paraId="29FFE727" w14:textId="65E982E7" w:rsidR="002B5689" w:rsidRDefault="002B5689" w:rsidP="00C04430">
      <w:pPr>
        <w:pStyle w:val="Prrafodelista"/>
      </w:pPr>
      <w:r w:rsidRPr="002B5689">
        <w:t>SOFTPOLIZA\desarrollo\SISTCONT\</w:t>
      </w:r>
      <w:proofErr w:type="spellStart"/>
      <w:r w:rsidRPr="002B5689">
        <w:t>Gestion</w:t>
      </w:r>
      <w:proofErr w:type="spellEnd"/>
      <w:r>
        <w:t>\</w:t>
      </w:r>
      <w:r w:rsidRPr="002B5689">
        <w:t>Procedimientos</w:t>
      </w:r>
      <w:r>
        <w:t>.docx</w:t>
      </w:r>
    </w:p>
    <w:p w14:paraId="5658429F" w14:textId="10835263" w:rsidR="008E0A3F" w:rsidRDefault="008E0A3F" w:rsidP="008E0A3F">
      <w:pPr>
        <w:pStyle w:val="Ttulo3"/>
      </w:pPr>
      <w:r>
        <w:t>Calendario del Plan de SCM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1163"/>
        <w:gridCol w:w="3509"/>
      </w:tblGrid>
      <w:tr w:rsidR="008E0A3F" w:rsidRPr="008E0A3F" w14:paraId="0F821198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0A1AF" w14:textId="32F89B16" w:rsidR="008E0A3F" w:rsidRPr="00C04430" w:rsidRDefault="00C04430" w:rsidP="00C04430">
            <w:pPr>
              <w:spacing w:after="0" w:line="288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77AD6" w14:textId="6F3DC212" w:rsidR="008E0A3F" w:rsidRPr="00C04430" w:rsidRDefault="00C04430" w:rsidP="00C04430">
            <w:pPr>
              <w:spacing w:after="0" w:line="288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TIEMPO</w:t>
            </w:r>
            <w:r w:rsidR="008E0A3F" w:rsidRPr="00C044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DÍAS</w:t>
            </w:r>
            <w:r w:rsidR="008E0A3F" w:rsidRPr="00C044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0296D" w14:textId="1E03FBD8" w:rsidR="008E0A3F" w:rsidRPr="00C04430" w:rsidRDefault="00C04430" w:rsidP="00C04430">
            <w:pPr>
              <w:spacing w:after="0" w:line="288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</w:tr>
      <w:tr w:rsidR="008E0A3F" w:rsidRPr="008E0A3F" w14:paraId="69E0161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9A347" w14:textId="77777777"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990F8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3A15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14:paraId="7D3E02B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D323F" w14:textId="77777777"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D814F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6BF84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14:paraId="7DB92B06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A350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19A78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FE5A1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C04430" w:rsidRPr="008E0A3F" w14:paraId="7B78F0BA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487B4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6EE69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5332D" w14:textId="07A9039B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C04430" w:rsidRPr="008E0A3F" w14:paraId="76C64FE3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8164A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C0580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BD990" w14:textId="535EEF8E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C04430" w:rsidRPr="008E0A3F" w14:paraId="6464D74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3AADB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E62E9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545D4" w14:textId="647CCA3C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C04430" w:rsidRPr="008E0A3F" w14:paraId="28A38196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33235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9E151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58D88" w14:textId="6DDE6B1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400D9F0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F0F9E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6D5C0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2E6D0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2D7A7CFC" w14:textId="77777777" w:rsidTr="00C0443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A340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B70CC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3240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61727F4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991D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Nomenclatura de la 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D8C40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A393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5AC550C2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71F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Lista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Item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38F30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8F895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534EAB8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7FA37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704B8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CE088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C04430" w:rsidRPr="008E0A3F" w14:paraId="51ADF53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65580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AB69D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C77D5" w14:textId="557162EC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661D592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4A907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la estructura de las librerías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542EA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4EEE3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7AC8335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2DD9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C3703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72E4E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14:paraId="449C3C19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74622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Plan de Gestión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A6DFB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F1C0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14:paraId="62CC3CC3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A73E8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D698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6C04F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6C9E6162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3E92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Definición de Reportes para el Estado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(Jefe de PY - 4)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4F8C7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8C22F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14:paraId="11121ECF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AE46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desarrollador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97B12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31CB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14:paraId="522524F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49BC0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80991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3BA0C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6ABB7F80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70F6F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80605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BA87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Auditor</w:t>
            </w:r>
          </w:p>
        </w:tc>
      </w:tr>
      <w:tr w:rsidR="008E0A3F" w:rsidRPr="008E0A3F" w14:paraId="46EF12DD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7456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Entrega y Gestión de </w:t>
            </w:r>
            <w:proofErr w:type="spellStart"/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ECD46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5C122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1405A5D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37622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7EBFD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5297D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14:paraId="29F2CDE8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8AFB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A655C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F5EC1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14:paraId="1324C1F0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2152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Librería actualizada (Gestión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Release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3154C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4D60F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</w:tbl>
    <w:p w14:paraId="0430C86B" w14:textId="77777777" w:rsidR="008E0A3F" w:rsidRPr="008E0A3F" w:rsidRDefault="008E0A3F" w:rsidP="008E0A3F"/>
    <w:sectPr w:rsidR="008E0A3F" w:rsidRPr="008E0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3B0D"/>
    <w:multiLevelType w:val="hybridMultilevel"/>
    <w:tmpl w:val="424EF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73FE8"/>
    <w:multiLevelType w:val="hybridMultilevel"/>
    <w:tmpl w:val="C6E60B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003C5"/>
    <w:multiLevelType w:val="hybridMultilevel"/>
    <w:tmpl w:val="971A3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106CAA"/>
    <w:rsid w:val="002B5689"/>
    <w:rsid w:val="004A03C9"/>
    <w:rsid w:val="00531F8F"/>
    <w:rsid w:val="005B70B9"/>
    <w:rsid w:val="0062517A"/>
    <w:rsid w:val="00676012"/>
    <w:rsid w:val="006B29CF"/>
    <w:rsid w:val="00727E25"/>
    <w:rsid w:val="007E0F51"/>
    <w:rsid w:val="008431C0"/>
    <w:rsid w:val="008E0A3F"/>
    <w:rsid w:val="008E4740"/>
    <w:rsid w:val="00A431E6"/>
    <w:rsid w:val="00AE3B5C"/>
    <w:rsid w:val="00B105F8"/>
    <w:rsid w:val="00C04430"/>
    <w:rsid w:val="00D4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8CD15"/>
  <w15:chartTrackingRefBased/>
  <w15:docId w15:val="{7632F8A1-CCFE-4B3E-8BBA-092B2483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E0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8E0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8E0A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Jhancarlo</cp:lastModifiedBy>
  <cp:revision>14</cp:revision>
  <dcterms:created xsi:type="dcterms:W3CDTF">2018-09-20T05:28:00Z</dcterms:created>
  <dcterms:modified xsi:type="dcterms:W3CDTF">2018-09-26T19:39:00Z</dcterms:modified>
</cp:coreProperties>
</file>