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55E8" w14:textId="77777777" w:rsidR="00AB305C"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60CB1027" w14:textId="77777777" w:rsidR="00974F04" w:rsidRDefault="00974F04">
      <w:pPr>
        <w:pStyle w:val="Textosinformato"/>
        <w:jc w:val="right"/>
        <w:rPr>
          <w:rFonts w:ascii="Arial" w:hAnsi="Arial" w:cs="Arial"/>
          <w:sz w:val="22"/>
          <w:szCs w:val="22"/>
        </w:rPr>
      </w:pPr>
    </w:p>
    <w:p w14:paraId="472E979C" w14:textId="77777777" w:rsidR="00D74E71" w:rsidRPr="00D74E71" w:rsidRDefault="00D74E71" w:rsidP="00D74E71">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617B1775" w14:textId="77777777" w:rsidR="00D74E71" w:rsidRPr="00D74E71" w:rsidRDefault="00D74E71" w:rsidP="00D74E71">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1B1C246F" w14:textId="77777777" w:rsidR="00D74E71" w:rsidRDefault="00D74E71" w:rsidP="00D74E71">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537AF0F4" w14:textId="0D3DE8E4" w:rsidR="00AB305C" w:rsidRDefault="00000000" w:rsidP="00D74E71">
      <w:pPr>
        <w:tabs>
          <w:tab w:val="left" w:pos="9000"/>
        </w:tabs>
        <w:spacing w:after="0"/>
        <w:ind w:right="6"/>
        <w:jc w:val="both"/>
        <w:rPr>
          <w:rFonts w:ascii="Arial" w:hAnsi="Arial" w:cs="Arial"/>
        </w:rPr>
      </w:pPr>
      <w:r>
        <w:rPr>
          <w:rFonts w:ascii="Arial" w:hAnsi="Arial" w:cs="Arial"/>
        </w:rPr>
        <w:t>${nombre}</w:t>
      </w:r>
    </w:p>
    <w:p w14:paraId="2E7A9EAD" w14:textId="77777777" w:rsidR="00AB305C" w:rsidRDefault="00000000">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5EFE60E0" w14:textId="77777777" w:rsidR="00D74E71" w:rsidRPr="00D74E71" w:rsidRDefault="00D74E71" w:rsidP="00D74E71">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5FD759AC" w14:textId="77777777" w:rsidR="00D74E71" w:rsidRPr="00D74E71" w:rsidRDefault="00D74E71" w:rsidP="00D74E71">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770222CE" w14:textId="77777777" w:rsidR="00D74E71" w:rsidRDefault="00D74E71" w:rsidP="00D74E71">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2050D054" w14:textId="6C2DDB36" w:rsidR="00AB305C" w:rsidRDefault="00000000" w:rsidP="00D74E71">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r w:rsidR="005724C3">
        <w:rPr>
          <w:rFonts w:ascii="Arial" w:hAnsi="Arial" w:cs="Arial"/>
        </w:rPr>
        <w:t>.</w:t>
      </w:r>
    </w:p>
    <w:p w14:paraId="5754E35B" w14:textId="77777777" w:rsidR="00AB305C" w:rsidRDefault="00AB305C">
      <w:pPr>
        <w:pStyle w:val="Textosinformato"/>
        <w:jc w:val="both"/>
        <w:rPr>
          <w:rFonts w:ascii="Arial" w:hAnsi="Arial" w:cs="Arial"/>
          <w:sz w:val="22"/>
          <w:szCs w:val="22"/>
        </w:rPr>
      </w:pPr>
    </w:p>
    <w:p w14:paraId="0564CFFA" w14:textId="277449B2" w:rsidR="0053109E" w:rsidRPr="0053109E" w:rsidRDefault="0053109E" w:rsidP="0053109E">
      <w:pPr>
        <w:pStyle w:val="Textosinformato"/>
        <w:tabs>
          <w:tab w:val="left" w:pos="9356"/>
        </w:tabs>
        <w:jc w:val="both"/>
        <w:outlineLvl w:val="0"/>
        <w:rPr>
          <w:rFonts w:ascii="Arial" w:hAnsi="Arial" w:cs="Arial"/>
          <w:lang w:val="es-MX"/>
        </w:rPr>
      </w:pPr>
      <w:r w:rsidRPr="00C26837">
        <w:rPr>
          <w:rFonts w:ascii="Arial" w:hAnsi="Arial" w:cs="Arial"/>
          <w:sz w:val="22"/>
          <w:szCs w:val="22"/>
        </w:rPr>
        <w:t>Esta Dirección de Auditor</w:t>
      </w:r>
      <w:r w:rsidRPr="00C26837">
        <w:rPr>
          <w:rFonts w:ascii="Arial" w:hAnsi="Arial" w:cs="Arial"/>
          <w:sz w:val="22"/>
          <w:szCs w:val="22"/>
          <w:lang w:val="es-MX"/>
        </w:rPr>
        <w:t>ía,</w:t>
      </w:r>
      <w:r w:rsidRPr="00C26837">
        <w:rPr>
          <w:rFonts w:ascii="Arial" w:hAnsi="Arial" w:cs="Arial"/>
          <w:sz w:val="22"/>
          <w:szCs w:val="22"/>
        </w:rPr>
        <w:t xml:space="preserve"> del Servicio de Administración Tributaria del Estado de Sinaloa, </w:t>
      </w:r>
      <w:r w:rsidRPr="00C26837">
        <w:rPr>
          <w:rFonts w:ascii="Arial" w:hAnsi="Arial" w:cs="Arial"/>
          <w:sz w:val="22"/>
          <w:szCs w:val="22"/>
          <w:lang w:val="es-MX"/>
        </w:rPr>
        <w:t xml:space="preserve">Órgano Desconcentrado </w:t>
      </w:r>
      <w:r w:rsidRPr="00C26837">
        <w:rPr>
          <w:rFonts w:ascii="Arial" w:hAnsi="Arial" w:cs="Arial"/>
          <w:sz w:val="22"/>
          <w:szCs w:val="22"/>
        </w:rPr>
        <w:t xml:space="preserve">dependiente </w:t>
      </w:r>
      <w:r w:rsidRPr="00C26837">
        <w:rPr>
          <w:rFonts w:ascii="Arial" w:hAnsi="Arial" w:cs="Arial"/>
          <w:sz w:val="22"/>
          <w:szCs w:val="22"/>
          <w:lang w:val="es-MX"/>
        </w:rPr>
        <w:t xml:space="preserve">de la </w:t>
      </w:r>
      <w:r w:rsidRPr="00C26837">
        <w:rPr>
          <w:rFonts w:ascii="Arial" w:hAnsi="Arial" w:cs="Arial"/>
          <w:sz w:val="22"/>
          <w:szCs w:val="22"/>
        </w:rPr>
        <w:t xml:space="preserve">Secretaría de Administración y Finanzas del Poder Ejecutivo del Estado de Sinaloa, en el ejercicio de sus facultades de comprobación, le ordena la presente visita domiciliaria, con el objeto o propósito de comprobar el cumplimiento de las disposiciones fiscales a que está afecta(o) como </w:t>
      </w:r>
      <w:r w:rsidR="00253731">
        <w:rPr>
          <w:rFonts w:ascii="Arial" w:hAnsi="Arial" w:cs="Arial"/>
          <w:sz w:val="22"/>
          <w:szCs w:val="22"/>
        </w:rPr>
        <w:t xml:space="preserve">sujeto directo </w:t>
      </w:r>
      <w:r w:rsidR="00253731">
        <w:rPr>
          <w:rFonts w:ascii="Arial" w:hAnsi="Arial" w:cs="Arial"/>
          <w:sz w:val="22"/>
          <w:szCs w:val="22"/>
          <w:lang w:val="es-MX"/>
        </w:rPr>
        <w:t>${</w:t>
      </w:r>
      <w:proofErr w:type="spellStart"/>
      <w:r w:rsidR="00253731">
        <w:rPr>
          <w:rFonts w:ascii="Arial" w:hAnsi="Arial" w:cs="Arial"/>
          <w:sz w:val="22"/>
          <w:szCs w:val="22"/>
          <w:lang w:val="es-MX"/>
        </w:rPr>
        <w:t>sujeto_retenedor</w:t>
      </w:r>
      <w:proofErr w:type="spellEnd"/>
      <w:r w:rsidR="00253731">
        <w:rPr>
          <w:rFonts w:ascii="Arial" w:hAnsi="Arial" w:cs="Arial"/>
          <w:sz w:val="22"/>
          <w:szCs w:val="22"/>
          <w:lang w:val="es-MX"/>
        </w:rPr>
        <w:t xml:space="preserve">} </w:t>
      </w:r>
      <w:r w:rsidRPr="00C26837">
        <w:rPr>
          <w:rFonts w:ascii="Arial" w:hAnsi="Arial" w:cs="Arial"/>
          <w:sz w:val="22"/>
          <w:szCs w:val="22"/>
        </w:rPr>
        <w:t>en materia de la siguiente contribución estatal: Impuesto Sobre Nóminas, la cual conforme al artículo 78 fracción I del Código Fiscal del Estado de Sinaloa, se llevará a cabo en el lugar señalado en esta orden, toda vez que esta autoridad conoció que ese lugar es donde desempeña sus actividades, lo cual se pudo corroborar con verificación ocular e información proporcionada por un tercero, en virtud de no encontrarse en el domicilio</w:t>
      </w:r>
      <w:r>
        <w:rPr>
          <w:rFonts w:ascii="Arial" w:hAnsi="Arial" w:cs="Arial"/>
          <w:sz w:val="22"/>
          <w:szCs w:val="22"/>
        </w:rPr>
        <w:t xml:space="preserve"> ${</w:t>
      </w:r>
      <w:proofErr w:type="spellStart"/>
      <w:r>
        <w:rPr>
          <w:rFonts w:ascii="Arial" w:hAnsi="Arial" w:cs="Arial"/>
          <w:sz w:val="22"/>
          <w:szCs w:val="22"/>
        </w:rPr>
        <w:t>domicilio_anterior</w:t>
      </w:r>
      <w:proofErr w:type="spellEnd"/>
      <w:r>
        <w:rPr>
          <w:rFonts w:ascii="Arial" w:hAnsi="Arial" w:cs="Arial"/>
          <w:sz w:val="22"/>
          <w:szCs w:val="22"/>
        </w:rPr>
        <w:t>}</w:t>
      </w:r>
      <w:r w:rsidRPr="00C26837">
        <w:rPr>
          <w:rFonts w:ascii="Arial" w:hAnsi="Arial" w:cs="Arial"/>
          <w:sz w:val="22"/>
          <w:szCs w:val="22"/>
        </w:rPr>
        <w:t xml:space="preserve">, designado como domicilio en su solicitud de inscripción al padrón de contribuyentes del Gobierno de Sinaloa, tal y como se hizo constar en el acta de hechos de fecha </w:t>
      </w:r>
      <w:r>
        <w:rPr>
          <w:rFonts w:ascii="Arial" w:hAnsi="Arial" w:cs="Arial"/>
          <w:sz w:val="22"/>
          <w:szCs w:val="22"/>
        </w:rPr>
        <w:t>${</w:t>
      </w:r>
      <w:proofErr w:type="spellStart"/>
      <w:r>
        <w:rPr>
          <w:rFonts w:ascii="Arial" w:hAnsi="Arial" w:cs="Arial"/>
          <w:sz w:val="22"/>
          <w:szCs w:val="22"/>
        </w:rPr>
        <w:t>fecha_acta</w:t>
      </w:r>
      <w:proofErr w:type="spellEnd"/>
      <w:r>
        <w:rPr>
          <w:rFonts w:ascii="Arial" w:hAnsi="Arial" w:cs="Arial"/>
          <w:sz w:val="22"/>
          <w:szCs w:val="22"/>
        </w:rPr>
        <w:t>}</w:t>
      </w:r>
      <w:r w:rsidRPr="00C26837">
        <w:rPr>
          <w:rFonts w:ascii="Arial" w:hAnsi="Arial" w:cs="Arial"/>
          <w:sz w:val="22"/>
          <w:szCs w:val="22"/>
        </w:rPr>
        <w:t xml:space="preserve"> levantada por el C.</w:t>
      </w:r>
      <w:r w:rsidR="00D277A2">
        <w:rPr>
          <w:rFonts w:ascii="Arial" w:hAnsi="Arial" w:cs="Arial"/>
          <w:sz w:val="22"/>
          <w:szCs w:val="22"/>
        </w:rPr>
        <w:t xml:space="preserve"> </w:t>
      </w:r>
      <w:r>
        <w:rPr>
          <w:rFonts w:ascii="Arial" w:hAnsi="Arial" w:cs="Arial"/>
          <w:sz w:val="22"/>
          <w:szCs w:val="22"/>
        </w:rPr>
        <w:t>${notificador}</w:t>
      </w:r>
      <w:r w:rsidRPr="00C26837">
        <w:rPr>
          <w:rFonts w:ascii="Arial" w:hAnsi="Arial" w:cs="Arial"/>
          <w:sz w:val="22"/>
          <w:szCs w:val="22"/>
        </w:rPr>
        <w:t xml:space="preserve">, visitador(a) adscrito(a) a la Dirección de Auditoría del Servicio de Administración Tributaria del Estado de Sinaloa, Órgano Desconcentrado dependiente </w:t>
      </w:r>
      <w:r w:rsidRPr="00C26837">
        <w:rPr>
          <w:rFonts w:ascii="Arial" w:hAnsi="Arial" w:cs="Arial"/>
          <w:sz w:val="22"/>
          <w:szCs w:val="22"/>
          <w:lang w:val="es-MX"/>
        </w:rPr>
        <w:t xml:space="preserve">de la </w:t>
      </w:r>
      <w:r w:rsidRPr="00C26837">
        <w:rPr>
          <w:rFonts w:ascii="Arial" w:hAnsi="Arial" w:cs="Arial"/>
          <w:sz w:val="22"/>
          <w:szCs w:val="22"/>
        </w:rPr>
        <w:t>Secretaría de Administración y Finanzas del Poder Ejecutivo del Estado de Sinaloa.</w:t>
      </w:r>
    </w:p>
    <w:p w14:paraId="078B5FC6" w14:textId="77777777" w:rsidR="0053109E" w:rsidRPr="00913B07" w:rsidRDefault="0053109E" w:rsidP="0053109E">
      <w:pPr>
        <w:pStyle w:val="Textosinformato"/>
        <w:ind w:right="-54"/>
        <w:jc w:val="both"/>
        <w:rPr>
          <w:rFonts w:ascii="Arial" w:hAnsi="Arial" w:cs="Arial"/>
          <w:sz w:val="22"/>
          <w:szCs w:val="22"/>
        </w:rPr>
      </w:pPr>
    </w:p>
    <w:p w14:paraId="08E5DA04" w14:textId="65DA428F" w:rsidR="0053109E" w:rsidRPr="002D16DF" w:rsidRDefault="0053109E" w:rsidP="0053109E">
      <w:pPr>
        <w:tabs>
          <w:tab w:val="left" w:pos="2694"/>
          <w:tab w:val="left" w:pos="4253"/>
          <w:tab w:val="left" w:pos="8505"/>
        </w:tabs>
        <w:spacing w:after="0"/>
        <w:ind w:right="6"/>
        <w:jc w:val="both"/>
        <w:rPr>
          <w:rFonts w:ascii="Arial" w:hAnsi="Arial" w:cs="Arial"/>
        </w:rPr>
      </w:pPr>
      <w:r w:rsidRPr="002D16DF">
        <w:rPr>
          <w:rFonts w:ascii="Arial" w:hAnsi="Arial" w:cs="Arial"/>
        </w:rPr>
        <w:t>De acuerdo a lo anterior, y a efecto de ejercer las facultades de comprobación previstas en los artículos  77 primer párrafo, fracción III, y último párrafo, 77 Bis-A, 78, 78-Bis, 78 Bis-A y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reformado por decreto número 38, publicado en el Periódico Oficial “El Estado de Sinaloa”, número 156 en fecha 28 de diciembre de 2007, Primera Sección; Decreto 58 publicado en el Periódico Oficial “El Estado de Sinaloa” número 158 del 28 de diciembre del 2016, Segunda Sección; Decreto 334 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 expide la presente orden de visita domiciliaria, con fundamento en los artículos: 17</w:t>
      </w:r>
      <w:r>
        <w:rPr>
          <w:rFonts w:ascii="Arial" w:hAnsi="Arial" w:cs="Arial"/>
        </w:rPr>
        <w:t>${</w:t>
      </w:r>
      <w:proofErr w:type="spellStart"/>
      <w:r w:rsidRPr="0053109E">
        <w:rPr>
          <w:rFonts w:ascii="Arial" w:hAnsi="Arial" w:cs="Arial"/>
        </w:rPr>
        <w:t>art_retenedor</w:t>
      </w:r>
      <w:proofErr w:type="spellEnd"/>
      <w:r>
        <w:rPr>
          <w:rFonts w:ascii="Arial" w:hAnsi="Arial" w:cs="Arial"/>
        </w:rPr>
        <w:t>}</w:t>
      </w:r>
      <w:bookmarkStart w:id="0" w:name="_Hlk197432819"/>
      <w:r w:rsidR="00FF2639">
        <w:rPr>
          <w:rFonts w:ascii="Arial" w:hAnsi="Arial" w:cs="Arial"/>
        </w:rPr>
        <w:t xml:space="preserve"> </w:t>
      </w:r>
      <w:r w:rsidRPr="002D16DF">
        <w:rPr>
          <w:rFonts w:ascii="Arial" w:hAnsi="Arial" w:cs="Arial"/>
        </w:rPr>
        <w:t xml:space="preserve">y 21 primer párrafo, fracción II y III, </w:t>
      </w:r>
      <w:bookmarkEnd w:id="0"/>
      <w:r w:rsidRPr="002D16DF">
        <w:rPr>
          <w:rFonts w:ascii="Arial" w:hAnsi="Arial" w:cs="Arial"/>
        </w:rPr>
        <w:t xml:space="preserve">de la Ley de Hacienda del Estado de Sinaloa; 16 y 31 fracción IV de la Constitución Política de los Estados  Unidos  Mexicanos; 6 fracción III, 18 párrafo primero, fracción I, 65 fracciones VII, 66, 80 y 81 de la Constitución Política del Estado de Sinaloa; </w:t>
      </w:r>
      <w:r>
        <w:rPr>
          <w:rFonts w:ascii="Arial" w:hAnsi="Arial" w:cs="Arial"/>
        </w:rPr>
        <w:t xml:space="preserve">3, 11 y 21 de la Ley Orgánica de la Administración Pública; artículos 1, 2, 8, 9, 15 fracción II, 17 fracciones X, XI, XII, XIV, XVI, XVII y LV del Reglamento Orgánico de la Administración Pública del Estado de Sinaloa, publicado en el Periódico Oficial “El Estado de Sinaloa” </w:t>
      </w:r>
      <w:r>
        <w:rPr>
          <w:rFonts w:ascii="Arial" w:hAnsi="Arial" w:cs="Arial"/>
        </w:rPr>
        <w:lastRenderedPageBreak/>
        <w:t>número 132 BIS, de fecha 01 de noviembre de 2021</w:t>
      </w:r>
      <w:r w:rsidRPr="002D16DF">
        <w:rPr>
          <w:rFonts w:ascii="Arial" w:hAnsi="Arial" w:cs="Arial"/>
        </w:rPr>
        <w:t xml:space="preserve">; </w:t>
      </w:r>
      <w:r w:rsidRPr="002D16DF">
        <w:rPr>
          <w:rFonts w:ascii="Arial" w:hAnsi="Arial" w:cs="Arial"/>
          <w:bCs/>
        </w:rPr>
        <w:t>1º,</w:t>
      </w:r>
      <w:r w:rsidRPr="002D16DF">
        <w:rPr>
          <w:rFonts w:ascii="Arial" w:hAnsi="Arial" w:cs="Arial"/>
        </w:rPr>
        <w:t xml:space="preserve"> 73, fracciones V y VI, 74, 75, 77 primer párrafo, fracciones III y XII,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en fecha 28 de diciembre de 2007, Primera Sección; Decreto 58 publicado en el Periódico Oficial “El Estado de Sinaloa” número 158 del 28 de diciembre del 2016, Segunda Sección; reformado y adicionado mediante Decreto 334 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 artículos 1, 2, 3, 4, 8 primer párrafo, fracciones I, VI, XI, XV y XXI; 9 primer párrafo, fracciones VI y último párrafo, 21 párrafo primero, fracciones, I, IV, V, VIII, XI, XIII, XIV, XVIII y XXI de la Ley del Servicio de Administración Tributaria del Estado de Sinaloa, publicada en el periódico Oficial “El Estado de Sinaloa” número 161 del 22 de diciembre del 2017, Segunda Sección, y en relación con los  artículos transitorios Primero, Quinto, Sexto; y, Décimo Segundo de las disposiciones transitorias del decreto número 334 antes referido; artículo 1; 2, fracción X; 3 primer párrafo, apartado “B”, fracción III, y segundo tercer párrafos; 6</w:t>
      </w:r>
      <w:r>
        <w:rPr>
          <w:rFonts w:ascii="Arial" w:hAnsi="Arial" w:cs="Arial"/>
        </w:rPr>
        <w:t xml:space="preserve"> párrafo primero</w:t>
      </w:r>
      <w:r w:rsidRPr="002D16DF">
        <w:rPr>
          <w:rFonts w:ascii="Arial" w:hAnsi="Arial" w:cs="Arial"/>
        </w:rPr>
        <w:t xml:space="preserve">, 10, fracciones I, VI, VII, IX, X, XIII y XV; 11 fracciones, II, III, IV, X y XXX; 16 primer párrafo, fracciones I, III, IV, IX, XI, XII y XXVI; y, Último Párrafo; </w:t>
      </w:r>
      <w:r w:rsidRPr="000627A0">
        <w:rPr>
          <w:rFonts w:ascii="Arial" w:hAnsi="Arial" w:cs="Arial"/>
        </w:rPr>
        <w:t>26 párrafo primero, apartado “C”</w:t>
      </w:r>
      <w:r>
        <w:rPr>
          <w:rFonts w:ascii="Arial" w:hAnsi="Arial" w:cs="Arial"/>
        </w:rPr>
        <w:t xml:space="preserve"> ${</w:t>
      </w:r>
      <w:proofErr w:type="spellStart"/>
      <w:r>
        <w:rPr>
          <w:rFonts w:ascii="Arial" w:hAnsi="Arial" w:cs="Arial"/>
        </w:rPr>
        <w:t>oficina_fraccion</w:t>
      </w:r>
      <w:proofErr w:type="spellEnd"/>
      <w:r>
        <w:rPr>
          <w:rFonts w:ascii="Arial" w:hAnsi="Arial" w:cs="Arial"/>
        </w:rPr>
        <w:t xml:space="preserve">} </w:t>
      </w:r>
      <w:r w:rsidRPr="000627A0">
        <w:rPr>
          <w:rFonts w:ascii="Arial" w:hAnsi="Arial" w:cs="Arial"/>
        </w:rPr>
        <w:t xml:space="preserve">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w:t>
      </w:r>
      <w:r w:rsidRPr="00806BEE">
        <w:rPr>
          <w:rFonts w:ascii="Arial" w:hAnsi="Arial" w:cs="Arial"/>
        </w:rPr>
        <w:t>Reformado y adicionado mediante Decreto publicado en el Periódico Oficial “El Estado de Sinaloa” No. 071 de fecha 11 de junio de 2025</w:t>
      </w:r>
      <w:r>
        <w:rPr>
          <w:rFonts w:ascii="Arial" w:hAnsi="Arial" w:cs="Arial"/>
        </w:rPr>
        <w:t xml:space="preserve">; </w:t>
      </w:r>
      <w:r w:rsidRPr="000627A0">
        <w:rPr>
          <w:rFonts w:ascii="Arial" w:hAnsi="Arial" w:cs="Arial"/>
        </w:rPr>
        <w:t>en relación con el artículo primero, apartado C</w:t>
      </w:r>
      <w:r>
        <w:rPr>
          <w:rFonts w:ascii="Arial" w:hAnsi="Arial" w:cs="Arial"/>
        </w:rPr>
        <w:t>, segundo</w:t>
      </w:r>
      <w:r w:rsidRPr="000627A0">
        <w:rPr>
          <w:rFonts w:ascii="Arial" w:hAnsi="Arial" w:cs="Arial"/>
        </w:rPr>
        <w:t xml:space="preserve"> y artículo Único Transitorio del Acuerdo por el que se establece la Circunscripción Territorial de las Oficinas del Servicio de Administración Tributaria del Estado de Sinaloa; publicado en el Periódico Oficial “El Estado de Sinaloa” No. 046 de fecha 12 de abril de 2018</w:t>
      </w:r>
      <w:r w:rsidRPr="002D16DF">
        <w:rPr>
          <w:rFonts w:ascii="Arial" w:hAnsi="Arial" w:cs="Arial"/>
        </w:rPr>
        <w:t>, Edición Extraordinaria; Para tal efecto, se autoriza a los C.C.</w:t>
      </w:r>
      <w:r w:rsidRPr="0053109E">
        <w:rPr>
          <w:rFonts w:ascii="Arial" w:hAnsi="Arial" w:cs="Arial"/>
        </w:rPr>
        <w:t xml:space="preserve"> </w:t>
      </w:r>
      <w:r>
        <w:rPr>
          <w:rFonts w:ascii="Arial" w:hAnsi="Arial" w:cs="Arial"/>
        </w:rPr>
        <w:t>${</w:t>
      </w:r>
      <w:proofErr w:type="spellStart"/>
      <w:r>
        <w:rPr>
          <w:rFonts w:ascii="Arial" w:hAnsi="Arial" w:cs="Arial"/>
        </w:rPr>
        <w:t>oficina_grupo</w:t>
      </w:r>
      <w:proofErr w:type="spellEnd"/>
      <w:r>
        <w:rPr>
          <w:rFonts w:ascii="Arial" w:hAnsi="Arial" w:cs="Arial"/>
        </w:rPr>
        <w:t>},</w:t>
      </w:r>
      <w:r w:rsidRPr="002D16DF">
        <w:rPr>
          <w:rFonts w:ascii="Arial" w:hAnsi="Arial" w:cs="Arial"/>
        </w:rPr>
        <w:t xml:space="preserve"> visitadores adscritos a esta Dirección de Auditoría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77 Bis-A fracción II del Código Fiscal del Estado de Sinaloa.</w:t>
      </w:r>
    </w:p>
    <w:p w14:paraId="74E98FEF" w14:textId="77777777" w:rsidR="0053109E" w:rsidRPr="002D16DF" w:rsidRDefault="0053109E" w:rsidP="0053109E">
      <w:pPr>
        <w:pStyle w:val="Textocomentario"/>
        <w:jc w:val="both"/>
        <w:rPr>
          <w:rFonts w:ascii="Arial" w:hAnsi="Arial" w:cs="Arial"/>
          <w:sz w:val="22"/>
          <w:szCs w:val="22"/>
          <w:lang w:val="es-MX"/>
        </w:rPr>
      </w:pPr>
    </w:p>
    <w:p w14:paraId="3F43C4C7" w14:textId="77777777" w:rsidR="0053109E" w:rsidRPr="002D16DF" w:rsidRDefault="0053109E" w:rsidP="0053109E">
      <w:pPr>
        <w:pStyle w:val="Textosinformato"/>
        <w:jc w:val="both"/>
        <w:outlineLvl w:val="0"/>
        <w:rPr>
          <w:rFonts w:ascii="Arial" w:hAnsi="Arial" w:cs="Arial"/>
          <w:sz w:val="22"/>
          <w:szCs w:val="22"/>
          <w:lang w:val="es-MX"/>
        </w:rPr>
      </w:pPr>
      <w:r w:rsidRPr="002D16DF">
        <w:rPr>
          <w:rFonts w:ascii="Arial" w:hAnsi="Arial" w:cs="Arial"/>
          <w:iCs/>
          <w:sz w:val="22"/>
          <w:szCs w:val="22"/>
        </w:rPr>
        <w:t>Así</w:t>
      </w:r>
      <w:r w:rsidRPr="002D16DF">
        <w:rPr>
          <w:rFonts w:ascii="Arial" w:hAnsi="Arial" w:cs="Arial"/>
          <w:iCs/>
          <w:sz w:val="22"/>
          <w:szCs w:val="22"/>
          <w:lang w:val="es-MX"/>
        </w:rPr>
        <w:t xml:space="preserve"> </w:t>
      </w:r>
      <w:r w:rsidRPr="002D16DF">
        <w:rPr>
          <w:rFonts w:ascii="Arial" w:hAnsi="Arial" w:cs="Arial"/>
          <w:iCs/>
          <w:sz w:val="22"/>
          <w:szCs w:val="22"/>
        </w:rPr>
        <w:t xml:space="preserve">mismo, de conformidad con lo dispuesto en el artículo </w:t>
      </w:r>
      <w:r w:rsidRPr="002D16DF">
        <w:rPr>
          <w:rFonts w:ascii="Arial" w:hAnsi="Arial" w:cs="Arial"/>
          <w:iCs/>
          <w:sz w:val="22"/>
          <w:szCs w:val="22"/>
          <w:lang w:val="es-MX"/>
        </w:rPr>
        <w:t>78 bis-d</w:t>
      </w:r>
      <w:r w:rsidRPr="002D16DF">
        <w:rPr>
          <w:rFonts w:ascii="Arial" w:hAnsi="Arial" w:cs="Arial"/>
          <w:iCs/>
          <w:sz w:val="22"/>
          <w:szCs w:val="22"/>
        </w:rPr>
        <w:t>,</w:t>
      </w:r>
      <w:r w:rsidRPr="002D16DF">
        <w:rPr>
          <w:rFonts w:ascii="Arial" w:hAnsi="Arial" w:cs="Arial"/>
          <w:iCs/>
          <w:sz w:val="22"/>
          <w:szCs w:val="22"/>
          <w:lang w:val="es-MX"/>
        </w:rPr>
        <w:t xml:space="preserve"> fracción II,</w:t>
      </w:r>
      <w:r w:rsidRPr="002D16DF">
        <w:rPr>
          <w:rFonts w:ascii="Arial" w:hAnsi="Arial" w:cs="Arial"/>
          <w:iCs/>
          <w:sz w:val="22"/>
          <w:szCs w:val="22"/>
        </w:rPr>
        <w:t xml:space="preserve"> inciso a) del Código Fiscal de</w:t>
      </w:r>
      <w:r w:rsidRPr="002D16DF">
        <w:rPr>
          <w:rFonts w:ascii="Arial" w:hAnsi="Arial" w:cs="Arial"/>
          <w:iCs/>
          <w:sz w:val="22"/>
          <w:szCs w:val="22"/>
          <w:lang w:val="es-MX"/>
        </w:rPr>
        <w:t>l Estado de Sinaloa</w:t>
      </w:r>
      <w:r w:rsidRPr="002D16DF">
        <w:rPr>
          <w:rFonts w:ascii="Arial" w:hAnsi="Arial" w:cs="Arial"/>
          <w:iCs/>
          <w:sz w:val="22"/>
          <w:szCs w:val="22"/>
        </w:rPr>
        <w:t xml:space="preserve">, se deberán presentar en forma inmediata y mantener a disposición del personal autorizado en la presente orden, </w:t>
      </w:r>
      <w:r w:rsidRPr="002D16DF">
        <w:rPr>
          <w:rFonts w:ascii="Arial" w:hAnsi="Arial" w:cs="Arial"/>
          <w:sz w:val="22"/>
          <w:szCs w:val="22"/>
        </w:rPr>
        <w:t>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w:t>
      </w:r>
    </w:p>
    <w:p w14:paraId="25E0D100" w14:textId="77777777" w:rsidR="0053109E" w:rsidRPr="002D16DF" w:rsidRDefault="0053109E" w:rsidP="0053109E">
      <w:pPr>
        <w:pStyle w:val="Textosinformato"/>
        <w:jc w:val="both"/>
        <w:outlineLvl w:val="0"/>
        <w:rPr>
          <w:rFonts w:ascii="Arial" w:hAnsi="Arial" w:cs="Arial"/>
          <w:sz w:val="22"/>
          <w:szCs w:val="22"/>
          <w:lang w:val="es-MX"/>
        </w:rPr>
      </w:pPr>
    </w:p>
    <w:p w14:paraId="3CBEA426" w14:textId="77777777" w:rsidR="0053109E" w:rsidRPr="002D16DF" w:rsidRDefault="0053109E" w:rsidP="0053109E">
      <w:pPr>
        <w:pStyle w:val="Textosinformato"/>
        <w:jc w:val="both"/>
        <w:outlineLvl w:val="0"/>
        <w:rPr>
          <w:rFonts w:ascii="Arial" w:hAnsi="Arial" w:cs="Arial"/>
          <w:sz w:val="22"/>
          <w:szCs w:val="22"/>
        </w:rPr>
      </w:pPr>
      <w:r w:rsidRPr="002D16DF">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78AC13A7" w14:textId="77777777" w:rsidR="0053109E" w:rsidRPr="002D16DF" w:rsidRDefault="0053109E" w:rsidP="0053109E">
      <w:pPr>
        <w:pStyle w:val="Textosinformato"/>
        <w:jc w:val="both"/>
        <w:rPr>
          <w:rFonts w:ascii="Arial" w:hAnsi="Arial" w:cs="Arial"/>
          <w:sz w:val="22"/>
          <w:szCs w:val="22"/>
        </w:rPr>
      </w:pPr>
    </w:p>
    <w:p w14:paraId="7C7AE34D" w14:textId="3E34C95D" w:rsidR="0053109E" w:rsidRPr="002D16DF" w:rsidRDefault="0053109E" w:rsidP="0053109E">
      <w:pPr>
        <w:tabs>
          <w:tab w:val="left" w:pos="2694"/>
          <w:tab w:val="left" w:pos="4253"/>
          <w:tab w:val="left" w:pos="8505"/>
        </w:tabs>
        <w:spacing w:after="0"/>
        <w:ind w:right="6"/>
        <w:jc w:val="both"/>
        <w:rPr>
          <w:rFonts w:ascii="Arial" w:hAnsi="Arial" w:cs="Arial"/>
          <w:strike/>
        </w:rPr>
      </w:pPr>
      <w:r w:rsidRPr="002D16DF">
        <w:rPr>
          <w:rFonts w:ascii="Arial" w:hAnsi="Arial" w:cs="Arial"/>
        </w:rPr>
        <w:t>La revisión abarcara el período comprendido del</w:t>
      </w:r>
      <w:r>
        <w:rPr>
          <w:rFonts w:ascii="Arial" w:hAnsi="Arial" w:cs="Arial"/>
        </w:rPr>
        <w:t xml:space="preserve"> ${periodos}</w:t>
      </w:r>
      <w:r w:rsidRPr="002D16DF">
        <w:rPr>
          <w:rFonts w:ascii="Arial" w:hAnsi="Arial" w:cs="Arial"/>
        </w:rPr>
        <w:t>.</w:t>
      </w:r>
    </w:p>
    <w:p w14:paraId="116F0812" w14:textId="77777777" w:rsidR="0053109E" w:rsidRPr="002D16DF" w:rsidRDefault="0053109E" w:rsidP="0053109E">
      <w:pPr>
        <w:pStyle w:val="Textosinformato"/>
        <w:jc w:val="both"/>
        <w:outlineLvl w:val="0"/>
        <w:rPr>
          <w:rFonts w:ascii="Arial" w:hAnsi="Arial" w:cs="Arial"/>
          <w:strike/>
          <w:sz w:val="22"/>
          <w:szCs w:val="22"/>
        </w:rPr>
      </w:pPr>
    </w:p>
    <w:p w14:paraId="6B956132" w14:textId="77777777" w:rsidR="0053109E" w:rsidRPr="002D16DF" w:rsidRDefault="0053109E" w:rsidP="0053109E">
      <w:pPr>
        <w:pStyle w:val="Textocomentario"/>
        <w:jc w:val="both"/>
        <w:rPr>
          <w:rFonts w:ascii="Arial" w:hAnsi="Arial" w:cs="Arial"/>
          <w:sz w:val="22"/>
          <w:szCs w:val="22"/>
        </w:rPr>
      </w:pPr>
      <w:r w:rsidRPr="002D16DF">
        <w:rPr>
          <w:rFonts w:ascii="Arial" w:hAnsi="Arial" w:cs="Arial"/>
          <w:sz w:val="22"/>
          <w:szCs w:val="22"/>
        </w:rPr>
        <w:t>La visita se llevará a cabo en el lugar o lugares señalados en esta orden o en el que proceda, de acuerdo con lo estipulado por el artículo 61 del Código Fiscal del Estado de Sinaloa.</w:t>
      </w:r>
    </w:p>
    <w:p w14:paraId="5CBEA004" w14:textId="77777777" w:rsidR="0053109E" w:rsidRPr="002D16DF" w:rsidRDefault="0053109E" w:rsidP="0053109E">
      <w:pPr>
        <w:pStyle w:val="Textocomentario"/>
        <w:jc w:val="both"/>
        <w:rPr>
          <w:rFonts w:ascii="Arial" w:hAnsi="Arial" w:cs="Arial"/>
          <w:sz w:val="22"/>
          <w:szCs w:val="22"/>
          <w:lang w:val="es-MX"/>
        </w:rPr>
      </w:pPr>
    </w:p>
    <w:p w14:paraId="180DA62D" w14:textId="77777777" w:rsidR="0053109E" w:rsidRPr="002D16DF" w:rsidRDefault="0053109E" w:rsidP="0053109E">
      <w:pPr>
        <w:pStyle w:val="Textocomentario"/>
        <w:jc w:val="both"/>
        <w:rPr>
          <w:rFonts w:ascii="Arial" w:hAnsi="Arial" w:cs="Arial"/>
          <w:sz w:val="22"/>
          <w:szCs w:val="22"/>
        </w:rPr>
      </w:pPr>
      <w:r w:rsidRPr="002D16DF">
        <w:rPr>
          <w:rFonts w:ascii="Arial" w:hAnsi="Arial" w:cs="Arial"/>
          <w:sz w:val="22"/>
          <w:szCs w:val="22"/>
        </w:rPr>
        <w:t xml:space="preserve">De conformidad con lo que establece el artículo 78 Bis del Código Fiscal del Estado de Sinaloa, se le solicita dar a los visitadores las facilidades necesarias para el cumplimiento de la presente orden, apercibiéndose que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fracciones  III, y 95 del Código Fiscal del Estado de Sinaloa, constituye una infracción en términos del artículo 97, primer párrafo, fracción </w:t>
      </w:r>
      <w:r w:rsidRPr="002D16DF">
        <w:rPr>
          <w:rFonts w:ascii="Arial" w:hAnsi="Arial" w:cs="Arial"/>
          <w:sz w:val="22"/>
          <w:szCs w:val="22"/>
          <w:lang w:val="es-MX"/>
        </w:rPr>
        <w:t>VII</w:t>
      </w:r>
      <w:r w:rsidRPr="002D16DF">
        <w:rPr>
          <w:rFonts w:ascii="Arial" w:hAnsi="Arial" w:cs="Arial"/>
          <w:sz w:val="22"/>
          <w:szCs w:val="22"/>
        </w:rPr>
        <w:t xml:space="preserve">I, primer párrafo, del Código Fiscal del Estado de Sinaloa, la cual se sanciona  de conformidad con lo señalado en el artículo 97, primer párrafo, fracción </w:t>
      </w:r>
      <w:r w:rsidRPr="002D16DF">
        <w:rPr>
          <w:rFonts w:ascii="Arial" w:hAnsi="Arial" w:cs="Arial"/>
          <w:sz w:val="22"/>
          <w:szCs w:val="22"/>
          <w:lang w:val="es-MX"/>
        </w:rPr>
        <w:t>VII</w:t>
      </w:r>
      <w:r w:rsidRPr="002D16DF">
        <w:rPr>
          <w:rFonts w:ascii="Arial" w:hAnsi="Arial" w:cs="Arial"/>
          <w:sz w:val="22"/>
          <w:szCs w:val="22"/>
        </w:rPr>
        <w:t>I, segundo párrafo, del propio Código Fiscal del Estado de Sinaloa, en cuyo caso, la autoridad podrá proceder en términos de lo dispuesto en el artículo 77, fracción X, del referido Código.</w:t>
      </w:r>
    </w:p>
    <w:p w14:paraId="5EACD554" w14:textId="77777777" w:rsidR="0053109E" w:rsidRPr="002D16DF" w:rsidRDefault="0053109E" w:rsidP="0053109E">
      <w:pPr>
        <w:pStyle w:val="Textosinformato"/>
        <w:jc w:val="both"/>
        <w:outlineLvl w:val="0"/>
        <w:rPr>
          <w:rFonts w:ascii="Arial" w:hAnsi="Arial" w:cs="Arial"/>
          <w:sz w:val="22"/>
          <w:szCs w:val="22"/>
        </w:rPr>
      </w:pPr>
    </w:p>
    <w:p w14:paraId="2780CE36" w14:textId="77777777" w:rsidR="0053109E" w:rsidRPr="002D16DF" w:rsidRDefault="0053109E" w:rsidP="0053109E">
      <w:pPr>
        <w:pStyle w:val="Textoindependiente2"/>
        <w:rPr>
          <w:rFonts w:ascii="Arial" w:hAnsi="Arial" w:cs="Arial"/>
          <w:sz w:val="22"/>
          <w:szCs w:val="22"/>
          <w:lang w:val="es-MX"/>
        </w:rPr>
      </w:pPr>
      <w:r w:rsidRPr="002D16DF">
        <w:rPr>
          <w:rFonts w:ascii="Arial" w:hAnsi="Arial" w:cs="Arial"/>
          <w:sz w:val="22"/>
          <w:szCs w:val="22"/>
        </w:rPr>
        <w:t xml:space="preserve">Asimismo, se le informa que considerando que con el presente acto se inician las facultades de esta autoridad fiscal, tiene el derecho de corregir su situación fiscal en las distintas contribuciones objeto de la </w:t>
      </w:r>
      <w:proofErr w:type="gramStart"/>
      <w:r w:rsidRPr="002D16DF">
        <w:rPr>
          <w:rFonts w:ascii="Arial" w:hAnsi="Arial" w:cs="Arial"/>
          <w:sz w:val="22"/>
          <w:szCs w:val="22"/>
        </w:rPr>
        <w:t>revisión</w:t>
      </w:r>
      <w:proofErr w:type="gramEnd"/>
      <w:r w:rsidRPr="002D16DF">
        <w:rPr>
          <w:rFonts w:ascii="Arial" w:hAnsi="Arial" w:cs="Arial"/>
          <w:sz w:val="22"/>
          <w:szCs w:val="22"/>
        </w:rPr>
        <w:t xml:space="preserve"> así como, los beneficios de ejercer el derecho mencionado.</w:t>
      </w:r>
    </w:p>
    <w:p w14:paraId="1E25A32C" w14:textId="10CF8D1A" w:rsidR="00FD05F6" w:rsidRPr="000A13C7" w:rsidRDefault="00FD05F6" w:rsidP="00FD05F6">
      <w:pPr>
        <w:pStyle w:val="Textoindependiente2"/>
        <w:rPr>
          <w:rFonts w:ascii="Arial" w:hAnsi="Arial" w:cs="Arial"/>
          <w:sz w:val="22"/>
          <w:szCs w:val="22"/>
          <w:lang w:val="es-MX"/>
        </w:rPr>
      </w:pPr>
    </w:p>
    <w:p w14:paraId="50B792BD" w14:textId="77777777" w:rsidR="00AB305C" w:rsidRDefault="00AB305C">
      <w:pPr>
        <w:pStyle w:val="Textoindependiente2"/>
        <w:rPr>
          <w:rFonts w:ascii="Arial" w:hAnsi="Arial" w:cs="Arial"/>
          <w:sz w:val="22"/>
          <w:szCs w:val="22"/>
          <w:lang w:val="es-MX"/>
        </w:rPr>
      </w:pPr>
    </w:p>
    <w:p w14:paraId="2D854ACE" w14:textId="77777777" w:rsidR="00AB305C" w:rsidRDefault="00AB305C">
      <w:pPr>
        <w:pStyle w:val="Textoindependiente2"/>
        <w:rPr>
          <w:rFonts w:ascii="Arial" w:hAnsi="Arial" w:cs="Arial"/>
          <w:sz w:val="22"/>
          <w:szCs w:val="22"/>
          <w:lang w:val="es-MX"/>
        </w:rPr>
      </w:pPr>
    </w:p>
    <w:p w14:paraId="6D939B1F" w14:textId="77777777" w:rsidR="00AB305C" w:rsidRDefault="00AB305C">
      <w:pPr>
        <w:pStyle w:val="Textoindependiente2"/>
        <w:rPr>
          <w:rFonts w:ascii="Arial" w:hAnsi="Arial" w:cs="Arial"/>
          <w:sz w:val="22"/>
          <w:szCs w:val="22"/>
          <w:lang w:val="es-MX"/>
        </w:rPr>
      </w:pPr>
    </w:p>
    <w:p w14:paraId="77474A31" w14:textId="77777777" w:rsidR="00AB305C" w:rsidRDefault="00AB305C">
      <w:pPr>
        <w:pStyle w:val="Textosinformato"/>
        <w:jc w:val="both"/>
        <w:outlineLvl w:val="0"/>
        <w:rPr>
          <w:rFonts w:ascii="Arial" w:hAnsi="Arial" w:cs="Arial"/>
          <w:sz w:val="22"/>
          <w:szCs w:val="22"/>
        </w:rPr>
      </w:pPr>
    </w:p>
    <w:p w14:paraId="04F63D27" w14:textId="77777777" w:rsidR="00AB305C" w:rsidRDefault="00000000">
      <w:pPr>
        <w:spacing w:after="0" w:line="240" w:lineRule="auto"/>
        <w:contextualSpacing/>
        <w:jc w:val="center"/>
        <w:rPr>
          <w:rFonts w:ascii="Arial" w:hAnsi="Arial" w:cs="Arial"/>
          <w:b/>
        </w:rPr>
      </w:pPr>
      <w:r>
        <w:rPr>
          <w:rFonts w:ascii="Arial" w:hAnsi="Arial" w:cs="Arial"/>
          <w:b/>
        </w:rPr>
        <w:t>A t e n t a m e n t e</w:t>
      </w:r>
    </w:p>
    <w:p w14:paraId="7594C4AD" w14:textId="77777777" w:rsidR="00AB305C" w:rsidRDefault="00000000">
      <w:pPr>
        <w:spacing w:after="0" w:line="240" w:lineRule="auto"/>
        <w:contextualSpacing/>
        <w:jc w:val="center"/>
        <w:rPr>
          <w:rFonts w:ascii="Arial" w:hAnsi="Arial" w:cs="Arial"/>
        </w:rPr>
      </w:pPr>
      <w:r>
        <w:rPr>
          <w:rFonts w:ascii="Arial" w:hAnsi="Arial" w:cs="Arial"/>
          <w:b/>
        </w:rPr>
        <w:t>${cargo}</w:t>
      </w:r>
    </w:p>
    <w:p w14:paraId="674A13EF" w14:textId="77777777" w:rsidR="00AB305C" w:rsidRDefault="00AB305C">
      <w:pPr>
        <w:spacing w:after="0" w:line="240" w:lineRule="auto"/>
        <w:contextualSpacing/>
        <w:jc w:val="center"/>
        <w:rPr>
          <w:rFonts w:ascii="Arial" w:hAnsi="Arial" w:cs="Arial"/>
        </w:rPr>
      </w:pPr>
    </w:p>
    <w:p w14:paraId="1FEBB807" w14:textId="77777777" w:rsidR="00AB305C" w:rsidRDefault="00AB305C">
      <w:pPr>
        <w:spacing w:after="0" w:line="240" w:lineRule="auto"/>
        <w:contextualSpacing/>
        <w:jc w:val="center"/>
        <w:rPr>
          <w:rFonts w:ascii="Arial" w:hAnsi="Arial" w:cs="Arial"/>
        </w:rPr>
      </w:pPr>
    </w:p>
    <w:p w14:paraId="30FFB637" w14:textId="77777777" w:rsidR="00AB305C" w:rsidRDefault="00AB305C">
      <w:pPr>
        <w:spacing w:after="0" w:line="240" w:lineRule="auto"/>
        <w:contextualSpacing/>
        <w:jc w:val="center"/>
        <w:rPr>
          <w:rFonts w:ascii="Arial" w:hAnsi="Arial" w:cs="Arial"/>
        </w:rPr>
      </w:pPr>
    </w:p>
    <w:p w14:paraId="5CFE355E" w14:textId="77777777" w:rsidR="00AB305C" w:rsidRDefault="00AB305C">
      <w:pPr>
        <w:spacing w:after="0" w:line="240" w:lineRule="auto"/>
        <w:contextualSpacing/>
        <w:jc w:val="center"/>
        <w:rPr>
          <w:rFonts w:ascii="Arial" w:hAnsi="Arial" w:cs="Arial"/>
        </w:rPr>
      </w:pPr>
    </w:p>
    <w:p w14:paraId="33305D6A" w14:textId="1390C9FF" w:rsidR="00AB305C" w:rsidRPr="00D46341" w:rsidRDefault="00C66E3C" w:rsidP="00D46341">
      <w:pPr>
        <w:spacing w:after="0" w:line="240" w:lineRule="auto"/>
        <w:contextualSpacing/>
        <w:jc w:val="center"/>
        <w:rPr>
          <w:rFonts w:ascii="Arial" w:hAnsi="Arial" w:cs="Arial"/>
          <w:b/>
        </w:rPr>
      </w:pPr>
      <w:r>
        <w:rPr>
          <w:rFonts w:ascii="Arial" w:hAnsi="Arial" w:cs="Arial"/>
          <w:iCs/>
          <w:noProof/>
          <w:sz w:val="16"/>
        </w:rPr>
        <mc:AlternateContent>
          <mc:Choice Requires="wps">
            <w:drawing>
              <wp:anchor distT="45085" distB="55245" distL="115570" distR="115570" simplePos="0" relativeHeight="12" behindDoc="0" locked="0" layoutInCell="0" allowOverlap="1" wp14:anchorId="617C777C" wp14:editId="1044EF0B">
                <wp:simplePos x="0" y="0"/>
                <wp:positionH relativeFrom="margin">
                  <wp:align>left</wp:align>
                </wp:positionH>
                <wp:positionV relativeFrom="page">
                  <wp:posOffset>8523366</wp:posOffset>
                </wp:positionV>
                <wp:extent cx="3243580" cy="260985"/>
                <wp:effectExtent l="0" t="0" r="0" b="3810"/>
                <wp:wrapSquare wrapText="bothSides"/>
                <wp:docPr id="1" name="Cuadro de texto 2"/>
                <wp:cNvGraphicFramePr/>
                <a:graphic xmlns:a="http://schemas.openxmlformats.org/drawingml/2006/main">
                  <a:graphicData uri="http://schemas.microsoft.com/office/word/2010/wordprocessingShape">
                    <wps:wsp>
                      <wps:cNvSpPr/>
                      <wps:spPr>
                        <a:xfrm>
                          <a:off x="0" y="0"/>
                          <a:ext cx="3243580" cy="260985"/>
                        </a:xfrm>
                        <a:prstGeom prst="rect">
                          <a:avLst/>
                        </a:prstGeom>
                        <a:noFill/>
                        <a:ln w="0">
                          <a:noFill/>
                        </a:ln>
                      </wps:spPr>
                      <wps:style>
                        <a:lnRef idx="0">
                          <a:scrgbClr r="0" g="0" b="0"/>
                        </a:lnRef>
                        <a:fillRef idx="0">
                          <a:scrgbClr r="0" g="0" b="0"/>
                        </a:fillRef>
                        <a:effectRef idx="0">
                          <a:scrgbClr r="0" g="0" b="0"/>
                        </a:effectRef>
                        <a:fontRef idx="minor"/>
                      </wps:style>
                      <wps:txbx>
                        <w:txbxContent>
                          <w:p w14:paraId="7268A7F5" w14:textId="77777777" w:rsidR="00AB305C" w:rsidRDefault="00000000">
                            <w:pPr>
                              <w:pStyle w:val="Contenidodelmarco"/>
                              <w:rPr>
                                <w:color w:val="000000"/>
                              </w:rPr>
                            </w:pPr>
                            <w:r>
                              <w:rPr>
                                <w:color w:val="000000"/>
                              </w:rPr>
                              <w:t>${iniciales}</w:t>
                            </w:r>
                          </w:p>
                        </w:txbxContent>
                      </wps:txbx>
                      <wps:bodyPr anchor="t" upright="1">
                        <a:spAutoFit/>
                      </wps:bodyPr>
                    </wps:wsp>
                  </a:graphicData>
                </a:graphic>
                <wp14:sizeRelV relativeFrom="margin">
                  <wp14:pctHeight>20000</wp14:pctHeight>
                </wp14:sizeRelV>
              </wp:anchor>
            </w:drawing>
          </mc:Choice>
          <mc:Fallback>
            <w:pict>
              <v:rect w14:anchorId="617C777C" id="Cuadro de texto 2" o:spid="_x0000_s1026" style="position:absolute;left:0;text-align:left;margin-left:0;margin-top:671.15pt;width:255.4pt;height:20.55pt;z-index:12;visibility:visible;mso-wrap-style:square;mso-height-percent:200;mso-wrap-distance-left:9.1pt;mso-wrap-distance-top:3.55pt;mso-wrap-distance-right:9.1pt;mso-wrap-distance-bottom:4.35pt;mso-position-horizontal:left;mso-position-horizontal-relative:margin;mso-position-vertical:absolute;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" o:allowincell="f" filled="f" stroked="f" strokeweight="0">
                <v:textbox style="mso-fit-shape-to-text:t">
                  <w:txbxContent>
                    <w:p w14:paraId="7268A7F5" w14:textId="77777777" w:rsidR="00AB305C" w:rsidRDefault="00000000">
                      <w:pPr>
                        <w:pStyle w:val="Contenidodelmarco"/>
                        <w:rPr>
                          <w:color w:val="000000"/>
                        </w:rPr>
                      </w:pPr>
                      <w:r>
                        <w:rPr>
                          <w:color w:val="000000"/>
                        </w:rPr>
                        <w:t>${iniciales}</w:t>
                      </w:r>
                    </w:p>
                  </w:txbxContent>
                </v:textbox>
                <w10:wrap type="square" anchorx="margin" anchory="page"/>
              </v:rect>
            </w:pict>
          </mc:Fallback>
        </mc:AlternateContent>
      </w:r>
      <w:r>
        <w:rPr>
          <w:rFonts w:ascii="Arial" w:hAnsi="Arial" w:cs="Arial"/>
          <w:b/>
        </w:rPr>
        <w:t>${</w:t>
      </w:r>
      <w:proofErr w:type="spellStart"/>
      <w:r>
        <w:rPr>
          <w:rFonts w:ascii="Arial" w:hAnsi="Arial" w:cs="Arial"/>
          <w:b/>
        </w:rPr>
        <w:t>nombre_actuante</w:t>
      </w:r>
      <w:proofErr w:type="spellEnd"/>
      <w:r>
        <w:rPr>
          <w:rFonts w:ascii="Arial" w:hAnsi="Arial" w:cs="Arial"/>
          <w:b/>
        </w:rPr>
        <w:t>}</w:t>
      </w:r>
    </w:p>
    <w:sectPr w:rsidR="00AB305C" w:rsidRPr="00D46341" w:rsidSect="005C3436">
      <w:headerReference w:type="default" r:id="rId7"/>
      <w:footerReference w:type="default" r:id="rId8"/>
      <w:headerReference w:type="first" r:id="rId9"/>
      <w:footerReference w:type="first" r:id="rId10"/>
      <w:pgSz w:w="12240" w:h="15840"/>
      <w:pgMar w:top="2694" w:right="618" w:bottom="1134" w:left="964" w:header="510" w:footer="67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9534" w14:textId="77777777" w:rsidR="00714974" w:rsidRDefault="00714974">
      <w:pPr>
        <w:spacing w:after="0" w:line="240" w:lineRule="auto"/>
      </w:pPr>
      <w:r>
        <w:separator/>
      </w:r>
    </w:p>
  </w:endnote>
  <w:endnote w:type="continuationSeparator" w:id="0">
    <w:p w14:paraId="52A839D9" w14:textId="77777777" w:rsidR="00714974" w:rsidRDefault="00714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3CA9" w14:textId="77777777" w:rsidR="00C24262" w:rsidRDefault="00C24262">
    <w:pPr>
      <w:spacing w:after="0"/>
      <w:jc w:val="center"/>
      <w:rPr>
        <w:rFonts w:ascii="Trebuchet MS" w:hAnsi="Trebuchet MS" w:cs="Trebuchet MS"/>
        <w:sz w:val="18"/>
        <w:szCs w:val="18"/>
      </w:rPr>
    </w:pPr>
  </w:p>
  <w:p w14:paraId="2B292C65" w14:textId="56762B4E"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6598F1EF"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7865676"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A30C469" w14:textId="7DA431C9" w:rsidR="00AB305C" w:rsidRPr="00D13FBF" w:rsidRDefault="00000000" w:rsidP="00D13FBF">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68D1"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1CB2E8E7"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69DAAA1"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39A7AB9E" w14:textId="77777777" w:rsidR="00AB305C"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p w14:paraId="706FB106" w14:textId="77777777" w:rsidR="00AB305C" w:rsidRDefault="00AB305C">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7BF2F" w14:textId="77777777" w:rsidR="00714974" w:rsidRDefault="00714974">
      <w:pPr>
        <w:spacing w:after="0" w:line="240" w:lineRule="auto"/>
      </w:pPr>
      <w:r>
        <w:separator/>
      </w:r>
    </w:p>
  </w:footnote>
  <w:footnote w:type="continuationSeparator" w:id="0">
    <w:p w14:paraId="01866C64" w14:textId="77777777" w:rsidR="00714974" w:rsidRDefault="00714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01C5" w14:textId="16689C50" w:rsidR="00AB305C" w:rsidRDefault="00B960A1">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mc:AlternateContent>
        <mc:Choice Requires="wps">
          <w:drawing>
            <wp:anchor distT="0" distB="0" distL="0" distR="0" simplePos="0" relativeHeight="251658240" behindDoc="1" locked="0" layoutInCell="1" allowOverlap="0" wp14:anchorId="2D61EA7D" wp14:editId="5451D393">
              <wp:simplePos x="0" y="0"/>
              <wp:positionH relativeFrom="column">
                <wp:posOffset>2788285</wp:posOffset>
              </wp:positionH>
              <wp:positionV relativeFrom="paragraph">
                <wp:posOffset>-152400</wp:posOffset>
              </wp:positionV>
              <wp:extent cx="4086225" cy="1285875"/>
              <wp:effectExtent l="0" t="0" r="0" b="9525"/>
              <wp:wrapNone/>
              <wp:docPr id="3" name="Text Box 6"/>
              <wp:cNvGraphicFramePr/>
              <a:graphic xmlns:a="http://schemas.openxmlformats.org/drawingml/2006/main">
                <a:graphicData uri="http://schemas.microsoft.com/office/word/2010/wordprocessingShape">
                  <wps:wsp>
                    <wps:cNvSpPr/>
                    <wps:spPr>
                      <a:xfrm>
                        <a:off x="0" y="0"/>
                        <a:ext cx="4086225" cy="1285875"/>
                      </a:xfrm>
                      <a:prstGeom prst="rect">
                        <a:avLst/>
                      </a:prstGeom>
                      <a:noFill/>
                      <a:ln w="0">
                        <a:noFill/>
                      </a:ln>
                    </wps:spPr>
                    <wps:style>
                      <a:lnRef idx="0">
                        <a:scrgbClr r="0" g="0" b="0"/>
                      </a:lnRef>
                      <a:fillRef idx="0">
                        <a:scrgbClr r="0" g="0" b="0"/>
                      </a:fillRef>
                      <a:effectRef idx="0">
                        <a:scrgbClr r="0" g="0" b="0"/>
                      </a:effectRef>
                      <a:fontRef idx="minor"/>
                    </wps:style>
                    <wps:txbx>
                      <w:txbxContent>
                        <w:p w14:paraId="459CE2E4"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EB91F1E"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0EEB9705"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7F0D5B7A" w14:textId="78F55D4D"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sidR="00596DF5">
                            <w:rPr>
                              <w:rFonts w:ascii="Arial" w:hAnsi="Arial" w:cs="Arial"/>
                              <w:color w:val="000000"/>
                              <w:sz w:val="18"/>
                              <w:szCs w:val="18"/>
                            </w:rPr>
                            <w:t>${orden}</w:t>
                          </w:r>
                          <w:r>
                            <w:rPr>
                              <w:rFonts w:ascii="Arial" w:hAnsi="Arial" w:cs="Arial"/>
                              <w:color w:val="000000"/>
                              <w:sz w:val="18"/>
                              <w:szCs w:val="18"/>
                            </w:rPr>
                            <w:t>/</w:t>
                          </w:r>
                          <w:r w:rsidR="00F6212A" w:rsidRPr="00F6212A">
                            <w:rPr>
                              <w:rFonts w:ascii="Arial" w:hAnsi="Arial" w:cs="Arial"/>
                              <w:color w:val="000000"/>
                              <w:sz w:val="18"/>
                              <w:szCs w:val="18"/>
                              <w:lang w:val="es-MX"/>
                            </w:rPr>
                            <w:t>${anio2}</w:t>
                          </w:r>
                        </w:p>
                        <w:p w14:paraId="3E7B4E28" w14:textId="77777777" w:rsidR="00AB305C" w:rsidRDefault="00AB305C">
                          <w:pPr>
                            <w:pStyle w:val="Encabezado"/>
                            <w:contextualSpacing/>
                            <w:rPr>
                              <w:rFonts w:ascii="Arial" w:hAnsi="Arial" w:cs="Arial"/>
                              <w:sz w:val="18"/>
                              <w:szCs w:val="18"/>
                              <w:lang w:val="es-MX"/>
                            </w:rPr>
                          </w:pPr>
                        </w:p>
                        <w:p w14:paraId="1B7231AB"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06E83E7F" w14:textId="77777777" w:rsidR="00AB305C" w:rsidRDefault="00AB305C">
                          <w:pPr>
                            <w:pStyle w:val="Encabezado"/>
                            <w:contextualSpacing/>
                            <w:rPr>
                              <w:rFonts w:ascii="Arial" w:hAnsi="Arial" w:cs="Arial"/>
                              <w:sz w:val="18"/>
                              <w:szCs w:val="18"/>
                            </w:rPr>
                          </w:pPr>
                        </w:p>
                        <w:p w14:paraId="16B24BA8"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wps:txbx>
                    <wps:bodyPr wrap="square" anchor="t" upright="1">
                      <a:noAutofit/>
                    </wps:bodyPr>
                  </wps:wsp>
                </a:graphicData>
              </a:graphic>
              <wp14:sizeRelV relativeFrom="margin">
                <wp14:pctHeight>0</wp14:pctHeight>
              </wp14:sizeRelV>
            </wp:anchor>
          </w:drawing>
        </mc:Choice>
        <mc:Fallback>
          <w:pict>
            <v:rect w14:anchorId="2D61EA7D" id="Text Box 6" o:spid="_x0000_s1027" style="position:absolute;margin-left:219.55pt;margin-top:-12pt;width:321.75pt;height:101.25pt;z-index:-25165824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" o:allowoverlap="f" filled="f" stroked="f" strokeweight="0">
              <v:textbox>
                <w:txbxContent>
                  <w:p w14:paraId="459CE2E4"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EB91F1E"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0EEB9705"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7F0D5B7A" w14:textId="78F55D4D"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sidR="00596DF5">
                      <w:rPr>
                        <w:rFonts w:ascii="Arial" w:hAnsi="Arial" w:cs="Arial"/>
                        <w:color w:val="000000"/>
                        <w:sz w:val="18"/>
                        <w:szCs w:val="18"/>
                      </w:rPr>
                      <w:t>${orden}</w:t>
                    </w:r>
                    <w:r>
                      <w:rPr>
                        <w:rFonts w:ascii="Arial" w:hAnsi="Arial" w:cs="Arial"/>
                        <w:color w:val="000000"/>
                        <w:sz w:val="18"/>
                        <w:szCs w:val="18"/>
                      </w:rPr>
                      <w:t>/</w:t>
                    </w:r>
                    <w:r w:rsidR="00F6212A" w:rsidRPr="00F6212A">
                      <w:rPr>
                        <w:rFonts w:ascii="Arial" w:hAnsi="Arial" w:cs="Arial"/>
                        <w:color w:val="000000"/>
                        <w:sz w:val="18"/>
                        <w:szCs w:val="18"/>
                        <w:lang w:val="es-MX"/>
                      </w:rPr>
                      <w:t>${anio2}</w:t>
                    </w:r>
                  </w:p>
                  <w:p w14:paraId="3E7B4E28" w14:textId="77777777" w:rsidR="00AB305C" w:rsidRDefault="00AB305C">
                    <w:pPr>
                      <w:pStyle w:val="Encabezado"/>
                      <w:contextualSpacing/>
                      <w:rPr>
                        <w:rFonts w:ascii="Arial" w:hAnsi="Arial" w:cs="Arial"/>
                        <w:sz w:val="18"/>
                        <w:szCs w:val="18"/>
                        <w:lang w:val="es-MX"/>
                      </w:rPr>
                    </w:pPr>
                  </w:p>
                  <w:p w14:paraId="1B7231AB"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06E83E7F" w14:textId="77777777" w:rsidR="00AB305C" w:rsidRDefault="00AB305C">
                    <w:pPr>
                      <w:pStyle w:val="Encabezado"/>
                      <w:contextualSpacing/>
                      <w:rPr>
                        <w:rFonts w:ascii="Arial" w:hAnsi="Arial" w:cs="Arial"/>
                        <w:sz w:val="18"/>
                        <w:szCs w:val="18"/>
                      </w:rPr>
                    </w:pPr>
                  </w:p>
                  <w:p w14:paraId="16B24BA8"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mc:Fallback>
      </mc:AlternateContent>
    </w:r>
  </w:p>
  <w:p w14:paraId="087DBB6F" w14:textId="46415A24" w:rsidR="00AB305C" w:rsidRDefault="00C24262">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6192" behindDoc="1" locked="0" layoutInCell="1" allowOverlap="1" wp14:anchorId="7D74FFBA" wp14:editId="11BDC1AF">
          <wp:simplePos x="0" y="0"/>
          <wp:positionH relativeFrom="column">
            <wp:posOffset>130340</wp:posOffset>
          </wp:positionH>
          <wp:positionV relativeFrom="paragraph">
            <wp:posOffset>7686</wp:posOffset>
          </wp:positionV>
          <wp:extent cx="2133600" cy="659765"/>
          <wp:effectExtent l="0" t="0" r="0" b="0"/>
          <wp:wrapNone/>
          <wp:docPr id="2081265218"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p>
  <w:p w14:paraId="5A8C5522"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54AAE1F3" w14:textId="253BC5DF" w:rsidR="00AB305C" w:rsidRDefault="00F135D8">
    <w:pPr>
      <w:rPr>
        <w:rFonts w:ascii="Times New Roman" w:eastAsia="Times New Roman" w:hAnsi="Times New Roman"/>
        <w:color w:val="000000"/>
        <w:sz w:val="0"/>
        <w:szCs w:val="0"/>
        <w:u w:color="000000"/>
        <w:shd w:val="clear" w:color="auto" w:fill="000000"/>
        <w:lang w:eastAsia="x-none" w:bidi="x-none"/>
      </w:rPr>
    </w:pPr>
    <w:r>
      <w:rPr>
        <w:noProof/>
        <w:lang w:eastAsia="es-MX"/>
      </w:rPr>
      <w:drawing>
        <wp:anchor distT="0" distB="0" distL="114300" distR="114300" simplePos="0" relativeHeight="251661312" behindDoc="1" locked="1" layoutInCell="1" allowOverlap="1" wp14:anchorId="743C6BE5" wp14:editId="2AA57763">
          <wp:simplePos x="0" y="0"/>
          <wp:positionH relativeFrom="page">
            <wp:align>center</wp:align>
          </wp:positionH>
          <wp:positionV relativeFrom="page">
            <wp:posOffset>2049145</wp:posOffset>
          </wp:positionV>
          <wp:extent cx="3895090" cy="6457950"/>
          <wp:effectExtent l="0" t="0" r="0" b="0"/>
          <wp:wrapNone/>
          <wp:docPr id="48338624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895090" cy="6457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EB25" w14:textId="77777777" w:rsidR="00AB305C"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7216" behindDoc="1" locked="0" layoutInCell="1" allowOverlap="1" wp14:anchorId="22C9D80B" wp14:editId="3471DC30">
          <wp:simplePos x="0" y="0"/>
          <wp:positionH relativeFrom="column">
            <wp:posOffset>498475</wp:posOffset>
          </wp:positionH>
          <wp:positionV relativeFrom="paragraph">
            <wp:posOffset>81280</wp:posOffset>
          </wp:positionV>
          <wp:extent cx="2133600" cy="659765"/>
          <wp:effectExtent l="0" t="0" r="0" b="0"/>
          <wp:wrapNone/>
          <wp:docPr id="1812650411"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rFonts w:ascii="Times New Roman" w:eastAsia="Times New Roman" w:hAnsi="Times New Roman"/>
        <w:noProof/>
        <w:color w:val="000000"/>
        <w:sz w:val="0"/>
        <w:szCs w:val="0"/>
        <w:u w:color="000000"/>
        <w:shd w:val="clear" w:color="auto" w:fill="000000"/>
        <w:lang w:eastAsia="x-none" w:bidi="x-none"/>
      </w:rPr>
      <mc:AlternateContent>
        <mc:Choice Requires="wps">
          <w:drawing>
            <wp:anchor distT="0" distB="0" distL="0" distR="0" simplePos="0" relativeHeight="251659264" behindDoc="1" locked="0" layoutInCell="1" allowOverlap="0" wp14:anchorId="0F18EE23" wp14:editId="4A74803E">
              <wp:simplePos x="0" y="0"/>
              <wp:positionH relativeFrom="column">
                <wp:posOffset>2788285</wp:posOffset>
              </wp:positionH>
              <wp:positionV relativeFrom="paragraph">
                <wp:posOffset>-152400</wp:posOffset>
              </wp:positionV>
              <wp:extent cx="4086225" cy="1381760"/>
              <wp:effectExtent l="0" t="0" r="0" b="0"/>
              <wp:wrapNone/>
              <wp:docPr id="5" name="Text Box 6"/>
              <wp:cNvGraphicFramePr/>
              <a:graphic xmlns:a="http://schemas.openxmlformats.org/drawingml/2006/main">
                <a:graphicData uri="http://schemas.microsoft.com/office/word/2010/wordprocessingShape">
                  <wps:wsp>
                    <wps:cNvSpPr/>
                    <wps:spPr>
                      <a:xfrm>
                        <a:off x="0" y="0"/>
                        <a:ext cx="4086360" cy="1381680"/>
                      </a:xfrm>
                      <a:prstGeom prst="rect">
                        <a:avLst/>
                      </a:prstGeom>
                      <a:noFill/>
                      <a:ln w="0">
                        <a:noFill/>
                      </a:ln>
                    </wps:spPr>
                    <wps:style>
                      <a:lnRef idx="0">
                        <a:scrgbClr r="0" g="0" b="0"/>
                      </a:lnRef>
                      <a:fillRef idx="0">
                        <a:scrgbClr r="0" g="0" b="0"/>
                      </a:fillRef>
                      <a:effectRef idx="0">
                        <a:scrgbClr r="0" g="0" b="0"/>
                      </a:effectRef>
                      <a:fontRef idx="minor"/>
                    </wps:style>
                    <wps:txbx>
                      <w:txbxContent>
                        <w:p w14:paraId="0039677F"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354426D7"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292C653"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23CF1334" w14:textId="77777777"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fldChar w:fldCharType="begin"/>
                          </w:r>
                          <w:r>
                            <w:rPr>
                              <w:rFonts w:ascii="Arial" w:hAnsi="Arial" w:cs="Arial"/>
                              <w:color w:val="000000"/>
                              <w:sz w:val="18"/>
                              <w:szCs w:val="18"/>
                            </w:rPr>
                            <w:instrText xml:space="preserve"> MERGEFIELD ORDEN </w:instrText>
                          </w:r>
                          <w:r>
                            <w:rPr>
                              <w:rFonts w:ascii="Arial" w:hAnsi="Arial" w:cs="Arial"/>
                              <w:color w:val="000000"/>
                              <w:sz w:val="18"/>
                              <w:szCs w:val="18"/>
                            </w:rPr>
                            <w:fldChar w:fldCharType="separate"/>
                          </w:r>
                          <w:r>
                            <w:rPr>
                              <w:rFonts w:ascii="Arial" w:hAnsi="Arial" w:cs="Arial"/>
                              <w:color w:val="000000"/>
                              <w:sz w:val="18"/>
                              <w:szCs w:val="18"/>
                            </w:rPr>
                            <w:t>«ORDEN»</w:t>
                          </w:r>
                          <w:r>
                            <w:rPr>
                              <w:rFonts w:ascii="Arial" w:hAnsi="Arial" w:cs="Arial"/>
                              <w:color w:val="000000"/>
                              <w:sz w:val="18"/>
                              <w:szCs w:val="18"/>
                            </w:rPr>
                            <w:fldChar w:fldCharType="end"/>
                          </w:r>
                          <w:r>
                            <w:rPr>
                              <w:rFonts w:ascii="Arial" w:hAnsi="Arial" w:cs="Arial"/>
                              <w:color w:val="000000"/>
                              <w:sz w:val="18"/>
                              <w:szCs w:val="18"/>
                            </w:rPr>
                            <w:t>/</w:t>
                          </w:r>
                          <w:r>
                            <w:rPr>
                              <w:rFonts w:ascii="Arial" w:hAnsi="Arial" w:cs="Arial"/>
                              <w:color w:val="000000"/>
                              <w:sz w:val="18"/>
                              <w:szCs w:val="18"/>
                              <w:lang w:val="es-MX"/>
                            </w:rPr>
                            <w:t>25</w:t>
                          </w:r>
                        </w:p>
                        <w:p w14:paraId="5A207C71" w14:textId="77777777" w:rsidR="00AB305C" w:rsidRDefault="00AB305C">
                          <w:pPr>
                            <w:pStyle w:val="Encabezado"/>
                            <w:contextualSpacing/>
                            <w:rPr>
                              <w:rFonts w:ascii="Arial" w:hAnsi="Arial" w:cs="Arial"/>
                              <w:sz w:val="18"/>
                              <w:szCs w:val="18"/>
                              <w:lang w:val="es-MX"/>
                            </w:rPr>
                          </w:pPr>
                        </w:p>
                        <w:p w14:paraId="2B52F0FD"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27F3F001" w14:textId="77777777" w:rsidR="00AB305C" w:rsidRDefault="00AB305C">
                          <w:pPr>
                            <w:pStyle w:val="Encabezado"/>
                            <w:contextualSpacing/>
                            <w:rPr>
                              <w:rFonts w:ascii="Arial" w:hAnsi="Arial" w:cs="Arial"/>
                              <w:sz w:val="18"/>
                              <w:szCs w:val="18"/>
                            </w:rPr>
                          </w:pPr>
                        </w:p>
                        <w:p w14:paraId="544B24E3"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wps:txbx>
                    <wps:bodyPr anchor="t" upright="1">
                      <a:noAutofit/>
                    </wps:bodyPr>
                  </wps:wsp>
                </a:graphicData>
              </a:graphic>
            </wp:anchor>
          </w:drawing>
        </mc:Choice>
        <mc:Fallback>
          <w:pict>
            <v:rect w14:anchorId="0F18EE23" id="_x0000_s1028" style="position:absolute;margin-left:219.55pt;margin-top:-12pt;width:321.75pt;height:108.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" o:allowoverlap="f" filled="f" stroked="f" strokeweight="0">
              <v:textbox>
                <w:txbxContent>
                  <w:p w14:paraId="0039677F"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354426D7"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292C653"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23CF1334" w14:textId="77777777"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fldChar w:fldCharType="begin"/>
                    </w:r>
                    <w:r>
                      <w:rPr>
                        <w:rFonts w:ascii="Arial" w:hAnsi="Arial" w:cs="Arial"/>
                        <w:color w:val="000000"/>
                        <w:sz w:val="18"/>
                        <w:szCs w:val="18"/>
                      </w:rPr>
                      <w:instrText xml:space="preserve"> MERGEFIELD ORDEN </w:instrText>
                    </w:r>
                    <w:r>
                      <w:rPr>
                        <w:rFonts w:ascii="Arial" w:hAnsi="Arial" w:cs="Arial"/>
                        <w:color w:val="000000"/>
                        <w:sz w:val="18"/>
                        <w:szCs w:val="18"/>
                      </w:rPr>
                      <w:fldChar w:fldCharType="separate"/>
                    </w:r>
                    <w:r>
                      <w:rPr>
                        <w:rFonts w:ascii="Arial" w:hAnsi="Arial" w:cs="Arial"/>
                        <w:color w:val="000000"/>
                        <w:sz w:val="18"/>
                        <w:szCs w:val="18"/>
                      </w:rPr>
                      <w:t>«ORDEN»</w:t>
                    </w:r>
                    <w:r>
                      <w:rPr>
                        <w:rFonts w:ascii="Arial" w:hAnsi="Arial" w:cs="Arial"/>
                        <w:color w:val="000000"/>
                        <w:sz w:val="18"/>
                        <w:szCs w:val="18"/>
                      </w:rPr>
                      <w:fldChar w:fldCharType="end"/>
                    </w:r>
                    <w:r>
                      <w:rPr>
                        <w:rFonts w:ascii="Arial" w:hAnsi="Arial" w:cs="Arial"/>
                        <w:color w:val="000000"/>
                        <w:sz w:val="18"/>
                        <w:szCs w:val="18"/>
                      </w:rPr>
                      <w:t>/</w:t>
                    </w:r>
                    <w:r>
                      <w:rPr>
                        <w:rFonts w:ascii="Arial" w:hAnsi="Arial" w:cs="Arial"/>
                        <w:color w:val="000000"/>
                        <w:sz w:val="18"/>
                        <w:szCs w:val="18"/>
                        <w:lang w:val="es-MX"/>
                      </w:rPr>
                      <w:t>25</w:t>
                    </w:r>
                  </w:p>
                  <w:p w14:paraId="5A207C71" w14:textId="77777777" w:rsidR="00AB305C" w:rsidRDefault="00AB305C">
                    <w:pPr>
                      <w:pStyle w:val="Encabezado"/>
                      <w:contextualSpacing/>
                      <w:rPr>
                        <w:rFonts w:ascii="Arial" w:hAnsi="Arial" w:cs="Arial"/>
                        <w:sz w:val="18"/>
                        <w:szCs w:val="18"/>
                        <w:lang w:val="es-MX"/>
                      </w:rPr>
                    </w:pPr>
                  </w:p>
                  <w:p w14:paraId="2B52F0FD"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27F3F001" w14:textId="77777777" w:rsidR="00AB305C" w:rsidRDefault="00AB305C">
                    <w:pPr>
                      <w:pStyle w:val="Encabezado"/>
                      <w:contextualSpacing/>
                      <w:rPr>
                        <w:rFonts w:ascii="Arial" w:hAnsi="Arial" w:cs="Arial"/>
                        <w:sz w:val="18"/>
                        <w:szCs w:val="18"/>
                      </w:rPr>
                    </w:pPr>
                  </w:p>
                  <w:p w14:paraId="544B24E3"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mc:Fallback>
      </mc:AlternateContent>
    </w:r>
  </w:p>
  <w:p w14:paraId="1137C016"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22D0D713"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40D7A787"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5C"/>
    <w:rsid w:val="000452F2"/>
    <w:rsid w:val="00066F55"/>
    <w:rsid w:val="000C4FDA"/>
    <w:rsid w:val="0014163A"/>
    <w:rsid w:val="00221390"/>
    <w:rsid w:val="00250B8F"/>
    <w:rsid w:val="00253731"/>
    <w:rsid w:val="00254E7E"/>
    <w:rsid w:val="002B088A"/>
    <w:rsid w:val="00351C05"/>
    <w:rsid w:val="003E5DC4"/>
    <w:rsid w:val="004A65D8"/>
    <w:rsid w:val="004B5772"/>
    <w:rsid w:val="0053109E"/>
    <w:rsid w:val="0054466C"/>
    <w:rsid w:val="0056581B"/>
    <w:rsid w:val="005724C3"/>
    <w:rsid w:val="00573043"/>
    <w:rsid w:val="005760D8"/>
    <w:rsid w:val="005842CC"/>
    <w:rsid w:val="00596DF5"/>
    <w:rsid w:val="005C3436"/>
    <w:rsid w:val="00714974"/>
    <w:rsid w:val="00735652"/>
    <w:rsid w:val="00792EC0"/>
    <w:rsid w:val="007A2768"/>
    <w:rsid w:val="008441C9"/>
    <w:rsid w:val="008F5A6C"/>
    <w:rsid w:val="00974F04"/>
    <w:rsid w:val="00A16FE8"/>
    <w:rsid w:val="00A561A2"/>
    <w:rsid w:val="00AB305C"/>
    <w:rsid w:val="00B37CF0"/>
    <w:rsid w:val="00B418C2"/>
    <w:rsid w:val="00B960A1"/>
    <w:rsid w:val="00BA3BAA"/>
    <w:rsid w:val="00BC0E7E"/>
    <w:rsid w:val="00BD3EF4"/>
    <w:rsid w:val="00BD78CD"/>
    <w:rsid w:val="00C24262"/>
    <w:rsid w:val="00C34A36"/>
    <w:rsid w:val="00C66E3C"/>
    <w:rsid w:val="00C7586E"/>
    <w:rsid w:val="00C96C02"/>
    <w:rsid w:val="00D13FBF"/>
    <w:rsid w:val="00D277A2"/>
    <w:rsid w:val="00D40BDE"/>
    <w:rsid w:val="00D46341"/>
    <w:rsid w:val="00D74E71"/>
    <w:rsid w:val="00DC6FD5"/>
    <w:rsid w:val="00E45F28"/>
    <w:rsid w:val="00EF1E16"/>
    <w:rsid w:val="00F135D8"/>
    <w:rsid w:val="00F6212A"/>
    <w:rsid w:val="00F86317"/>
    <w:rsid w:val="00F9129B"/>
    <w:rsid w:val="00FD05F6"/>
    <w:rsid w:val="00FF2639"/>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C8C82"/>
  <w15:docId w15:val="{F32BE970-7032-459A-9F07-CCA0D99A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
    <w:name w:val="Contenido del marco"/>
    <w:basedOn w:val="Normal"/>
    <w:qFormat/>
  </w:style>
  <w:style w:type="paragraph" w:customStyle="1" w:styleId="Contenidodelmarcouser">
    <w:name w:val="Contenido del marco (user)"/>
    <w:basedOn w:val="Normal"/>
    <w:qFormat/>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Pages>
  <Words>1410</Words>
  <Characters>7758</Characters>
  <Application>Microsoft Office Word</Application>
  <DocSecurity>0</DocSecurity>
  <Lines>64</Lines>
  <Paragraphs>18</Paragraphs>
  <ScaleCrop>false</ScaleCrop>
  <Company>Hewlett-Packard Company</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PC92</cp:lastModifiedBy>
  <cp:revision>43</cp:revision>
  <cp:lastPrinted>2025-11-10T21:38:00Z</cp:lastPrinted>
  <dcterms:created xsi:type="dcterms:W3CDTF">2025-11-20T15:41:00Z</dcterms:created>
  <dcterms:modified xsi:type="dcterms:W3CDTF">2026-01-15T17:26:00Z</dcterms:modified>
  <dc:language>es-MX</dc:language>
</cp:coreProperties>
</file>