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D3865D" w14:textId="77777777" w:rsidR="008311FF" w:rsidRDefault="008311FF">
      <w:pPr>
        <w:spacing w:before="3000"/>
      </w:pPr>
    </w:p>
    <w:p w14:paraId="3BD678AC" w14:textId="77777777" w:rsidR="008311FF" w:rsidRDefault="00000000">
      <w:pPr>
        <w:spacing w:after="200"/>
      </w:pPr>
      <w:r>
        <w:rPr>
          <w:b/>
          <w:bCs/>
          <w:color w:val="3896B4"/>
          <w:sz w:val="22"/>
          <w:szCs w:val="22"/>
        </w:rPr>
        <w:t>RELATÓRIO EXECUTIVO</w:t>
      </w:r>
    </w:p>
    <w:p w14:paraId="2DE044FD" w14:textId="77777777" w:rsidR="008311FF" w:rsidRDefault="00000000">
      <w:pPr>
        <w:spacing w:after="200" w:line="400" w:lineRule="auto"/>
      </w:pPr>
      <w:r>
        <w:rPr>
          <w:b/>
          <w:bCs/>
          <w:color w:val="000000"/>
          <w:sz w:val="56"/>
          <w:szCs w:val="56"/>
        </w:rPr>
        <w:t>Classificando a Qualidade de Vinhos com Machine Learning</w:t>
      </w:r>
    </w:p>
    <w:p w14:paraId="0FC363F9" w14:textId="77777777" w:rsidR="008311FF" w:rsidRDefault="008311FF">
      <w:pPr>
        <w:pBdr>
          <w:bottom w:val="single" w:sz="12" w:space="8" w:color="3896B4"/>
        </w:pBdr>
        <w:spacing w:after="300"/>
      </w:pPr>
    </w:p>
    <w:p w14:paraId="55DEF490" w14:textId="77777777" w:rsidR="008311FF" w:rsidRDefault="00000000">
      <w:pPr>
        <w:spacing w:after="100"/>
        <w:rPr>
          <w:color w:val="898A8E"/>
          <w:sz w:val="28"/>
          <w:szCs w:val="28"/>
        </w:rPr>
      </w:pPr>
      <w:r>
        <w:rPr>
          <w:color w:val="898A8E"/>
          <w:sz w:val="28"/>
          <w:szCs w:val="28"/>
        </w:rPr>
        <w:t>Tech Challenge — Fase 2</w:t>
      </w:r>
    </w:p>
    <w:p w14:paraId="4B55AC59" w14:textId="22EBE3F0" w:rsidR="00AD0B68" w:rsidRDefault="00AD0B68">
      <w:pPr>
        <w:spacing w:after="100"/>
        <w:rPr>
          <w:color w:val="898A8E"/>
          <w:sz w:val="28"/>
          <w:szCs w:val="28"/>
        </w:rPr>
      </w:pPr>
      <w:r>
        <w:rPr>
          <w:color w:val="898A8E"/>
          <w:sz w:val="28"/>
          <w:szCs w:val="28"/>
        </w:rPr>
        <w:t>Ana Paula Corrêa Galdino – RM370461</w:t>
      </w:r>
    </w:p>
    <w:p w14:paraId="268B4986" w14:textId="77777777" w:rsidR="00AD0B68" w:rsidRDefault="00AD0B68">
      <w:pPr>
        <w:spacing w:after="100"/>
      </w:pPr>
    </w:p>
    <w:p w14:paraId="65591F7D" w14:textId="77777777" w:rsidR="008311FF" w:rsidRDefault="00000000">
      <w:pPr>
        <w:spacing w:after="100"/>
      </w:pPr>
      <w:r>
        <w:rPr>
          <w:color w:val="898A8E"/>
          <w:sz w:val="24"/>
          <w:szCs w:val="24"/>
        </w:rPr>
        <w:t>POSTECH — Data Analytics (DTAT)</w:t>
      </w:r>
    </w:p>
    <w:p w14:paraId="2719DCD2" w14:textId="77777777" w:rsidR="008311FF" w:rsidRDefault="00000000">
      <w:r>
        <w:rPr>
          <w:color w:val="A6A7A9"/>
          <w:sz w:val="24"/>
          <w:szCs w:val="24"/>
        </w:rPr>
        <w:t>Julho de 2026</w:t>
      </w:r>
    </w:p>
    <w:p w14:paraId="26393909" w14:textId="77777777" w:rsidR="008311FF" w:rsidRDefault="00000000">
      <w:r>
        <w:br w:type="page"/>
      </w:r>
    </w:p>
    <w:p w14:paraId="7C4DD273" w14:textId="77777777" w:rsidR="008311FF" w:rsidRDefault="00000000">
      <w:pPr>
        <w:pStyle w:val="Ttulo1"/>
      </w:pPr>
      <w:r>
        <w:lastRenderedPageBreak/>
        <w:t>1. Objetivo</w:t>
      </w:r>
    </w:p>
    <w:p w14:paraId="508F9138" w14:textId="77777777" w:rsidR="008311FF" w:rsidRDefault="008311FF">
      <w:pPr>
        <w:pBdr>
          <w:bottom w:val="single" w:sz="6" w:space="8" w:color="3896B4"/>
        </w:pBdr>
        <w:spacing w:before="120" w:after="240"/>
      </w:pPr>
    </w:p>
    <w:p w14:paraId="2EC2EC88" w14:textId="77777777" w:rsidR="008311FF" w:rsidRDefault="00000000">
      <w:pPr>
        <w:spacing w:after="120" w:line="280" w:lineRule="auto"/>
      </w:pPr>
      <w:r>
        <w:t>Desenvolver, avaliar e comparar modelos de aprendizado de máquina capazes de prever se um vinho é de Alta Qualidade (nota atribuída por especialistas maior ou igual a 7) a partir de onze características físico-químicas medidas em laboratório, como teor alcoólico, acidez e dióxido de enxofre.</w:t>
      </w:r>
    </w:p>
    <w:p w14:paraId="06F8F96C" w14:textId="77777777" w:rsidR="008311FF" w:rsidRDefault="00000000">
      <w:pPr>
        <w:spacing w:after="120" w:line="280" w:lineRule="auto"/>
      </w:pPr>
      <w:r>
        <w:t>A avaliação sensorial tradicional é subjetiva, cara e lenta. Um classificador preditivo permite antecipar a qualidade de cada lote antes do painel de especialistas, priorizar degustações, ajustar o processo produtivo em tempo hábil e padronizar a qualidade entre safras, transformando medições de rotina em decisão de negócio.</w:t>
      </w:r>
    </w:p>
    <w:p w14:paraId="188559D0" w14:textId="77777777" w:rsidR="008311FF" w:rsidRDefault="00000000">
      <w:pPr>
        <w:spacing w:after="120" w:line="280" w:lineRule="auto"/>
      </w:pPr>
      <w:r>
        <w:t>A base utilizada é o Wine Quality Dataset (Kaggle, arquivo WineQT.csv), com 1.143 amostras de vinho tinto, 11 variáveis físico-químicas e a nota de qualidade dos especialistas.</w:t>
      </w:r>
    </w:p>
    <w:p w14:paraId="4ED32F2B" w14:textId="77777777" w:rsidR="008311FF" w:rsidRDefault="00000000">
      <w:pPr>
        <w:pStyle w:val="Ttulo1"/>
      </w:pPr>
      <w:r>
        <w:t>2. Metodologia</w:t>
      </w:r>
    </w:p>
    <w:p w14:paraId="16C55DB7" w14:textId="77777777" w:rsidR="008311FF" w:rsidRDefault="008311FF">
      <w:pPr>
        <w:pBdr>
          <w:bottom w:val="single" w:sz="6" w:space="8" w:color="3896B4"/>
        </w:pBdr>
        <w:spacing w:before="120" w:after="240"/>
      </w:pPr>
    </w:p>
    <w:p w14:paraId="2CA8E7D5" w14:textId="77777777" w:rsidR="008311FF" w:rsidRDefault="00000000">
      <w:pPr>
        <w:spacing w:after="120" w:line="280" w:lineRule="auto"/>
      </w:pPr>
      <w:r>
        <w:t>O trabalho seguiu um pipeline completo e reproduzível de ciência de dados, com todas as etapas estocásticas fixadas em random_state = 42:</w:t>
      </w:r>
    </w:p>
    <w:p w14:paraId="66D2B29D" w14:textId="77777777" w:rsidR="008311FF" w:rsidRDefault="00000000">
      <w:pPr>
        <w:pStyle w:val="PargrafodaLista"/>
        <w:numPr>
          <w:ilvl w:val="0"/>
          <w:numId w:val="2"/>
        </w:numPr>
        <w:spacing w:after="80" w:line="280" w:lineRule="auto"/>
      </w:pPr>
      <w:r>
        <w:rPr>
          <w:b/>
          <w:bCs/>
        </w:rPr>
        <w:t xml:space="preserve">Compreensão do problema — </w:t>
      </w:r>
      <w:r>
        <w:t>conversão da nota (3 a 8) em classificação binária, com corte em 7. A decisão de negócio é binária (lote premium ou não) e as notas extremas possuem pouquíssimas amostras, inviabilizando um classificador multiclasse confiável.</w:t>
      </w:r>
    </w:p>
    <w:p w14:paraId="3C1B21E1" w14:textId="77777777" w:rsidR="008311FF" w:rsidRDefault="00000000">
      <w:pPr>
        <w:pStyle w:val="PargrafodaLista"/>
        <w:numPr>
          <w:ilvl w:val="0"/>
          <w:numId w:val="2"/>
        </w:numPr>
        <w:spacing w:after="80" w:line="280" w:lineRule="auto"/>
      </w:pPr>
      <w:r>
        <w:rPr>
          <w:b/>
          <w:bCs/>
        </w:rPr>
        <w:t xml:space="preserve">Auditoria e limpeza — </w:t>
      </w:r>
      <w:r>
        <w:t>zero valores faltantes; 125 registros duplicados removidos para evitar vazamento de dados entre treino e teste, restando 1.018 amostras.</w:t>
      </w:r>
    </w:p>
    <w:p w14:paraId="77EF7D57" w14:textId="77777777" w:rsidR="008311FF" w:rsidRDefault="00000000">
      <w:pPr>
        <w:pStyle w:val="PargrafodaLista"/>
        <w:numPr>
          <w:ilvl w:val="0"/>
          <w:numId w:val="2"/>
        </w:numPr>
        <w:spacing w:after="80" w:line="280" w:lineRule="auto"/>
      </w:pPr>
      <w:r>
        <w:rPr>
          <w:b/>
          <w:bCs/>
        </w:rPr>
        <w:t xml:space="preserve">Análise exploratória — </w:t>
      </w:r>
      <w:r>
        <w:t>distribuições, boxplots e violin plots por classe, matriz de correlação comentada, análise de outliers (critério IQR) e do balanceamento de classes.</w:t>
      </w:r>
    </w:p>
    <w:p w14:paraId="39A8732F" w14:textId="77777777" w:rsidR="008311FF" w:rsidRDefault="00000000">
      <w:pPr>
        <w:pStyle w:val="PargrafodaLista"/>
        <w:numPr>
          <w:ilvl w:val="0"/>
          <w:numId w:val="2"/>
        </w:numPr>
        <w:spacing w:after="80" w:line="280" w:lineRule="auto"/>
      </w:pPr>
      <w:r>
        <w:rPr>
          <w:b/>
          <w:bCs/>
        </w:rPr>
        <w:t xml:space="preserve">Pré-processamento — </w:t>
      </w:r>
      <w:r>
        <w:t>padronização via StandardScaler dentro de Pipeline (ajustada apenas no treino); criação de duas features derivadas validadas por ganho mensurável de F1 em validação cruzada; divisão 80/20 estratificada.</w:t>
      </w:r>
    </w:p>
    <w:p w14:paraId="0E57A03A" w14:textId="77777777" w:rsidR="008311FF" w:rsidRDefault="00000000">
      <w:pPr>
        <w:pStyle w:val="PargrafodaLista"/>
        <w:numPr>
          <w:ilvl w:val="0"/>
          <w:numId w:val="2"/>
        </w:numPr>
        <w:spacing w:after="80" w:line="280" w:lineRule="auto"/>
      </w:pPr>
      <w:r>
        <w:rPr>
          <w:b/>
          <w:bCs/>
        </w:rPr>
        <w:t xml:space="preserve">Modelagem — </w:t>
      </w:r>
      <w:r>
        <w:t>três algoritmos comparados sob protocolo idêntico (Regressão Logística, Random Forest e XGBoost), com busca de hiperparâmetros via GridSearchCV, validação cruzada estratificada de 5 dobras e ponderação de classes.</w:t>
      </w:r>
    </w:p>
    <w:p w14:paraId="52AA95DB" w14:textId="77777777" w:rsidR="008311FF" w:rsidRDefault="00000000">
      <w:pPr>
        <w:pStyle w:val="PargrafodaLista"/>
        <w:numPr>
          <w:ilvl w:val="0"/>
          <w:numId w:val="2"/>
        </w:numPr>
        <w:spacing w:after="80" w:line="280" w:lineRule="auto"/>
      </w:pPr>
      <w:r>
        <w:rPr>
          <w:b/>
          <w:bCs/>
        </w:rPr>
        <w:t xml:space="preserve">Avaliação — </w:t>
      </w:r>
      <w:r>
        <w:t>acurácia, precisão, recall, F1-score, ROC AUC, curvas ROC e Precision-Recall e matriz de confusão, medidos em conjunto de teste nunca visto no treinamento.</w:t>
      </w:r>
    </w:p>
    <w:p w14:paraId="7543C2A7" w14:textId="77777777" w:rsidR="008311FF" w:rsidRDefault="00000000">
      <w:pPr>
        <w:pStyle w:val="Ttulo1"/>
      </w:pPr>
      <w:r>
        <w:t>3. Desenvolvimento</w:t>
      </w:r>
    </w:p>
    <w:p w14:paraId="438F878A" w14:textId="77777777" w:rsidR="008311FF" w:rsidRDefault="008311FF">
      <w:pPr>
        <w:pBdr>
          <w:bottom w:val="single" w:sz="6" w:space="8" w:color="3896B4"/>
        </w:pBdr>
        <w:spacing w:before="120" w:after="240"/>
      </w:pPr>
    </w:p>
    <w:p w14:paraId="744F912C" w14:textId="77777777" w:rsidR="008311FF" w:rsidRDefault="00000000">
      <w:pPr>
        <w:pStyle w:val="Ttulo2"/>
      </w:pPr>
      <w:r>
        <w:t>3.1 O desafio central: classes desbalanceadas</w:t>
      </w:r>
    </w:p>
    <w:p w14:paraId="2B812F3C" w14:textId="77777777" w:rsidR="008311FF" w:rsidRDefault="00000000">
      <w:pPr>
        <w:spacing w:after="120" w:line="280" w:lineRule="auto"/>
      </w:pPr>
      <w:r>
        <w:t>Apenas 13,5% dos vinhos alcançam o padrão de alta qualidade (137 de 1.018 amostras). Um modelo ingênuo que classificasse todos os vinhos como comuns atingiria cerca de 86,5% de acurácia sem identificar um único vinho premium. Por isso, o F1-score, que equilibra precisão e recall na classe rara, foi adotado como métrica principal de otimização e seleção.</w:t>
      </w:r>
    </w:p>
    <w:p w14:paraId="15FDDA28" w14:textId="77777777" w:rsidR="008311FF" w:rsidRDefault="00000000">
      <w:pPr>
        <w:spacing w:before="160" w:after="60"/>
        <w:jc w:val="center"/>
      </w:pPr>
      <w:r>
        <w:rPr>
          <w:noProof/>
        </w:rPr>
        <w:lastRenderedPageBreak/>
        <w:drawing>
          <wp:inline distT="0" distB="0" distL="0" distR="0" wp14:anchorId="289D1821" wp14:editId="2DB37C7C">
            <wp:extent cx="5334000" cy="1952625"/>
            <wp:effectExtent l="0" t="0" r="0" b="0"/>
            <wp:docPr id="1" name="01_distribuicao_variavel_alvo.png" descr="Figura 1 — Distribuição da nota de qualidade e balanceamento após a binarização" title="Figura 1 — Distribuição da nota de qualidade e balanceamento após a binarizaçã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6DD57" w14:textId="77777777" w:rsidR="008311FF" w:rsidRDefault="00000000">
      <w:pPr>
        <w:spacing w:after="200"/>
        <w:jc w:val="center"/>
      </w:pPr>
      <w:r>
        <w:rPr>
          <w:i/>
          <w:iCs/>
          <w:color w:val="A6A7A9"/>
          <w:sz w:val="16"/>
          <w:szCs w:val="16"/>
        </w:rPr>
        <w:t>Figura 1 — Distribuição da nota de qualidade e balanceamento após a binarização</w:t>
      </w:r>
    </w:p>
    <w:p w14:paraId="0A861DE9" w14:textId="77777777" w:rsidR="008311FF" w:rsidRDefault="00000000">
      <w:pPr>
        <w:pStyle w:val="Ttulo2"/>
      </w:pPr>
      <w:r>
        <w:t>3.2 O que a análise exploratória revelou</w:t>
      </w:r>
    </w:p>
    <w:p w14:paraId="56363C2D" w14:textId="77777777" w:rsidR="008311FF" w:rsidRDefault="00000000">
      <w:pPr>
        <w:spacing w:after="120" w:line="280" w:lineRule="auto"/>
      </w:pPr>
      <w:r>
        <w:t>A EDA identificou os marcadores físico-químicos que separam os vinhos premium dos demais:</w:t>
      </w:r>
    </w:p>
    <w:p w14:paraId="79AF5D97" w14:textId="77777777" w:rsidR="008311FF" w:rsidRDefault="00000000">
      <w:pPr>
        <w:pStyle w:val="PargrafodaLista"/>
        <w:numPr>
          <w:ilvl w:val="0"/>
          <w:numId w:val="2"/>
        </w:numPr>
        <w:spacing w:after="80" w:line="280" w:lineRule="auto"/>
      </w:pPr>
      <w:r>
        <w:rPr>
          <w:b/>
          <w:bCs/>
        </w:rPr>
        <w:t xml:space="preserve">Teor alcoólico é o principal marcador de qualidade: </w:t>
      </w:r>
      <w:r>
        <w:t>a mediana dos vinhos premium (11,7% vol.) supera a dos demais (10,0% vol.), com correlação de +0,49 com a nota.</w:t>
      </w:r>
    </w:p>
    <w:p w14:paraId="57A6627D" w14:textId="77777777" w:rsidR="008311FF" w:rsidRDefault="00000000">
      <w:pPr>
        <w:pStyle w:val="PargrafodaLista"/>
        <w:numPr>
          <w:ilvl w:val="0"/>
          <w:numId w:val="2"/>
        </w:numPr>
        <w:spacing w:after="80" w:line="280" w:lineRule="auto"/>
      </w:pPr>
      <w:r>
        <w:rPr>
          <w:b/>
          <w:bCs/>
        </w:rPr>
        <w:t xml:space="preserve">Acidez volátil é o principal marcador de defeito: </w:t>
      </w:r>
      <w:r>
        <w:t>correlação de −0,41 com a nota; em excesso, produz aroma avinagrado, penalizado pelos especialistas.</w:t>
      </w:r>
    </w:p>
    <w:p w14:paraId="251D4056" w14:textId="77777777" w:rsidR="008311FF" w:rsidRDefault="00000000">
      <w:pPr>
        <w:pStyle w:val="PargrafodaLista"/>
        <w:numPr>
          <w:ilvl w:val="0"/>
          <w:numId w:val="2"/>
        </w:numPr>
        <w:spacing w:after="80" w:line="280" w:lineRule="auto"/>
      </w:pPr>
      <w:r>
        <w:rPr>
          <w:b/>
          <w:bCs/>
        </w:rPr>
        <w:t>Sulfatos e ácido cítrico atuam como coadjuvantes positivos</w:t>
      </w:r>
      <w:r>
        <w:t>, ligados à proteção antioxidante e ao frescor (+0,26 e +0,24).</w:t>
      </w:r>
    </w:p>
    <w:p w14:paraId="6E39DE6F" w14:textId="77777777" w:rsidR="008311FF" w:rsidRDefault="00000000">
      <w:pPr>
        <w:pStyle w:val="PargrafodaLista"/>
        <w:numPr>
          <w:ilvl w:val="0"/>
          <w:numId w:val="2"/>
        </w:numPr>
        <w:spacing w:after="80" w:line="280" w:lineRule="auto"/>
      </w:pPr>
      <w:r>
        <w:rPr>
          <w:b/>
          <w:bCs/>
        </w:rPr>
        <w:t xml:space="preserve">Outliers foram mantidos: </w:t>
      </w:r>
      <w:r>
        <w:t>os valores extremos (concentrados em açúcar residual, cloretos e sulfatos) são enologicamente válidos: vinhos raros, e não erros de medição. Os modelos escolhidos são robustos a eles.</w:t>
      </w:r>
    </w:p>
    <w:p w14:paraId="3D173532" w14:textId="77777777" w:rsidR="008311FF" w:rsidRDefault="00000000">
      <w:pPr>
        <w:spacing w:before="160" w:after="60"/>
        <w:jc w:val="center"/>
      </w:pPr>
      <w:r>
        <w:rPr>
          <w:noProof/>
        </w:rPr>
        <w:drawing>
          <wp:inline distT="0" distB="0" distL="0" distR="0" wp14:anchorId="59BB7A5C" wp14:editId="0852090C">
            <wp:extent cx="4572000" cy="3019425"/>
            <wp:effectExtent l="0" t="0" r="0" b="0"/>
            <wp:docPr id="529658213" name="06_correlacao_com_alvo.png" descr="Figura 2 — Correlação de cada variável com a classe Alta Qualidade" title="Figura 2 — Correlação de cada variável com a classe Alta Qualida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09628" w14:textId="77777777" w:rsidR="008311FF" w:rsidRDefault="00000000">
      <w:pPr>
        <w:spacing w:after="200"/>
        <w:jc w:val="center"/>
      </w:pPr>
      <w:r>
        <w:rPr>
          <w:i/>
          <w:iCs/>
          <w:color w:val="A6A7A9"/>
          <w:sz w:val="16"/>
          <w:szCs w:val="16"/>
        </w:rPr>
        <w:t>Figura 2 — Correlação de cada variável com a classe Alta Qualidade</w:t>
      </w:r>
    </w:p>
    <w:p w14:paraId="1A6D51F4" w14:textId="77777777" w:rsidR="008311FF" w:rsidRDefault="00000000">
      <w:pPr>
        <w:spacing w:before="160" w:after="60"/>
        <w:jc w:val="center"/>
      </w:pPr>
      <w:r>
        <w:rPr>
          <w:noProof/>
        </w:rPr>
        <w:lastRenderedPageBreak/>
        <w:drawing>
          <wp:inline distT="0" distB="0" distL="0" distR="0" wp14:anchorId="4E31BADE" wp14:editId="64DAC89D">
            <wp:extent cx="5905500" cy="1733550"/>
            <wp:effectExtent l="0" t="0" r="0" b="0"/>
            <wp:docPr id="1489426124" name="04_violin_plots.png" descr="Figura 3 — Distribuição das quatro variáveis mais discriminantes por classe" title="Figura 3 — Distribuição das quatro variáveis mais discriminantes por clas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DB3D0" w14:textId="77777777" w:rsidR="008311FF" w:rsidRDefault="00000000">
      <w:pPr>
        <w:spacing w:after="200"/>
        <w:jc w:val="center"/>
      </w:pPr>
      <w:r>
        <w:rPr>
          <w:i/>
          <w:iCs/>
          <w:color w:val="A6A7A9"/>
          <w:sz w:val="16"/>
          <w:szCs w:val="16"/>
        </w:rPr>
        <w:t>Figura 3 — Distribuição das quatro variáveis mais discriminantes por classe</w:t>
      </w:r>
    </w:p>
    <w:p w14:paraId="301818EA" w14:textId="77777777" w:rsidR="008311FF" w:rsidRDefault="00000000">
      <w:pPr>
        <w:pStyle w:val="Ttulo2"/>
      </w:pPr>
      <w:r>
        <w:t>3.3 Feature engineering validada por evidência</w:t>
      </w:r>
    </w:p>
    <w:p w14:paraId="2780A7A5" w14:textId="77777777" w:rsidR="008311FF" w:rsidRDefault="00000000">
      <w:pPr>
        <w:spacing w:after="120" w:line="280" w:lineRule="auto"/>
      </w:pPr>
      <w:r>
        <w:t>Duas variáveis derivadas foram criadas com fundamento enológico e testadas empiricamente: a razão SO₂ livre/total (fração ativa do conservante) e a interação álcool × sulfatos (combinação de corpo e proteção antioxidante). Elas elevaram o F1 médio de validação cruzada de 0,378 para 0,408 no modelo-sonda e, por isso, foram adotadas. A interação álcool × sulfatos tornou-se a segunda variável mais importante do modelo final.</w:t>
      </w:r>
    </w:p>
    <w:p w14:paraId="0DAC283B" w14:textId="77777777" w:rsidR="008311FF" w:rsidRDefault="00000000">
      <w:r>
        <w:br w:type="page"/>
      </w:r>
    </w:p>
    <w:p w14:paraId="20901742" w14:textId="77777777" w:rsidR="008311FF" w:rsidRDefault="00000000">
      <w:pPr>
        <w:pStyle w:val="Ttulo1"/>
      </w:pPr>
      <w:r>
        <w:lastRenderedPageBreak/>
        <w:t>4. Resultados</w:t>
      </w:r>
    </w:p>
    <w:p w14:paraId="52D8FED1" w14:textId="77777777" w:rsidR="008311FF" w:rsidRDefault="008311FF">
      <w:pPr>
        <w:pBdr>
          <w:bottom w:val="single" w:sz="6" w:space="8" w:color="3896B4"/>
        </w:pBdr>
        <w:spacing w:before="120" w:after="240"/>
      </w:pPr>
    </w:p>
    <w:p w14:paraId="69B46879" w14:textId="77777777" w:rsidR="008311FF" w:rsidRDefault="00000000">
      <w:pPr>
        <w:pStyle w:val="Ttulo2"/>
      </w:pPr>
      <w:r>
        <w:t>4.1 Comparação dos modelos</w:t>
      </w:r>
    </w:p>
    <w:p w14:paraId="4918CDE9" w14:textId="77777777" w:rsidR="008311FF" w:rsidRDefault="00000000">
      <w:pPr>
        <w:spacing w:after="120" w:line="280" w:lineRule="auto"/>
      </w:pPr>
      <w:r>
        <w:t>Os três modelos foram avaliados no conjunto de teste (204 amostras, 27 vinhos premium), após otimização de hiperparâmetros exclusivamente sobre o treino: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1300"/>
        <w:gridCol w:w="1300"/>
        <w:gridCol w:w="1300"/>
        <w:gridCol w:w="1400"/>
        <w:gridCol w:w="1300"/>
      </w:tblGrid>
      <w:tr w:rsidR="008311FF" w14:paraId="24A861C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6A7A9"/>
              <w:left w:val="single" w:sz="1" w:space="0" w:color="A6A7A9"/>
              <w:bottom w:val="single" w:sz="1" w:space="0" w:color="A6A7A9"/>
              <w:right w:val="single" w:sz="1" w:space="0" w:color="A6A7A9"/>
            </w:tcBorders>
            <w:shd w:val="clear" w:color="auto" w:fill="D1D0C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A04952" w14:textId="77777777" w:rsidR="008311FF" w:rsidRDefault="00000000">
            <w:r>
              <w:rPr>
                <w:b/>
                <w:bCs/>
                <w:color w:val="000000"/>
                <w:sz w:val="18"/>
                <w:szCs w:val="18"/>
              </w:rPr>
              <w:t>Modelo</w:t>
            </w:r>
          </w:p>
        </w:tc>
        <w:tc>
          <w:tcPr>
            <w:tcW w:w="1300" w:type="dxa"/>
            <w:tcBorders>
              <w:top w:val="single" w:sz="1" w:space="0" w:color="A6A7A9"/>
              <w:left w:val="single" w:sz="1" w:space="0" w:color="A6A7A9"/>
              <w:bottom w:val="single" w:sz="1" w:space="0" w:color="A6A7A9"/>
              <w:right w:val="single" w:sz="1" w:space="0" w:color="A6A7A9"/>
            </w:tcBorders>
            <w:shd w:val="clear" w:color="auto" w:fill="D1D0C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29BB49" w14:textId="77777777" w:rsidR="008311FF" w:rsidRDefault="00000000">
            <w:r>
              <w:rPr>
                <w:b/>
                <w:bCs/>
                <w:color w:val="000000"/>
                <w:sz w:val="18"/>
                <w:szCs w:val="18"/>
              </w:rPr>
              <w:t>Acurácia</w:t>
            </w:r>
          </w:p>
        </w:tc>
        <w:tc>
          <w:tcPr>
            <w:tcW w:w="1300" w:type="dxa"/>
            <w:tcBorders>
              <w:top w:val="single" w:sz="1" w:space="0" w:color="A6A7A9"/>
              <w:left w:val="single" w:sz="1" w:space="0" w:color="A6A7A9"/>
              <w:bottom w:val="single" w:sz="1" w:space="0" w:color="A6A7A9"/>
              <w:right w:val="single" w:sz="1" w:space="0" w:color="A6A7A9"/>
            </w:tcBorders>
            <w:shd w:val="clear" w:color="auto" w:fill="D1D0C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02B9F5" w14:textId="77777777" w:rsidR="008311FF" w:rsidRDefault="00000000">
            <w:r>
              <w:rPr>
                <w:b/>
                <w:bCs/>
                <w:color w:val="000000"/>
                <w:sz w:val="18"/>
                <w:szCs w:val="18"/>
              </w:rPr>
              <w:t>Precisão</w:t>
            </w:r>
          </w:p>
        </w:tc>
        <w:tc>
          <w:tcPr>
            <w:tcW w:w="1300" w:type="dxa"/>
            <w:tcBorders>
              <w:top w:val="single" w:sz="1" w:space="0" w:color="A6A7A9"/>
              <w:left w:val="single" w:sz="1" w:space="0" w:color="A6A7A9"/>
              <w:bottom w:val="single" w:sz="1" w:space="0" w:color="A6A7A9"/>
              <w:right w:val="single" w:sz="1" w:space="0" w:color="A6A7A9"/>
            </w:tcBorders>
            <w:shd w:val="clear" w:color="auto" w:fill="D1D0C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A4CF0F" w14:textId="77777777" w:rsidR="008311FF" w:rsidRDefault="00000000">
            <w:r>
              <w:rPr>
                <w:b/>
                <w:bCs/>
                <w:color w:val="000000"/>
                <w:sz w:val="18"/>
                <w:szCs w:val="18"/>
              </w:rPr>
              <w:t>Recall</w:t>
            </w:r>
          </w:p>
        </w:tc>
        <w:tc>
          <w:tcPr>
            <w:tcW w:w="1400" w:type="dxa"/>
            <w:tcBorders>
              <w:top w:val="single" w:sz="1" w:space="0" w:color="A6A7A9"/>
              <w:left w:val="single" w:sz="1" w:space="0" w:color="A6A7A9"/>
              <w:bottom w:val="single" w:sz="1" w:space="0" w:color="A6A7A9"/>
              <w:right w:val="single" w:sz="1" w:space="0" w:color="A6A7A9"/>
            </w:tcBorders>
            <w:shd w:val="clear" w:color="auto" w:fill="D1D0C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A8513C" w14:textId="77777777" w:rsidR="008311FF" w:rsidRDefault="00000000">
            <w:r>
              <w:rPr>
                <w:b/>
                <w:bCs/>
                <w:color w:val="000000"/>
                <w:sz w:val="18"/>
                <w:szCs w:val="18"/>
              </w:rPr>
              <w:t>F1-score</w:t>
            </w:r>
          </w:p>
        </w:tc>
        <w:tc>
          <w:tcPr>
            <w:tcW w:w="1300" w:type="dxa"/>
            <w:tcBorders>
              <w:top w:val="single" w:sz="1" w:space="0" w:color="A6A7A9"/>
              <w:left w:val="single" w:sz="1" w:space="0" w:color="A6A7A9"/>
              <w:bottom w:val="single" w:sz="1" w:space="0" w:color="A6A7A9"/>
              <w:right w:val="single" w:sz="1" w:space="0" w:color="A6A7A9"/>
            </w:tcBorders>
            <w:shd w:val="clear" w:color="auto" w:fill="D1D0C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413C05" w14:textId="77777777" w:rsidR="008311FF" w:rsidRDefault="00000000">
            <w:r>
              <w:rPr>
                <w:b/>
                <w:bCs/>
                <w:color w:val="000000"/>
                <w:sz w:val="18"/>
                <w:szCs w:val="18"/>
              </w:rPr>
              <w:t>ROC AUC</w:t>
            </w:r>
          </w:p>
        </w:tc>
      </w:tr>
      <w:tr w:rsidR="008311FF" w14:paraId="4FF03C3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6A7A9"/>
              <w:left w:val="single" w:sz="1" w:space="0" w:color="A6A7A9"/>
              <w:bottom w:val="single" w:sz="1" w:space="0" w:color="A6A7A9"/>
              <w:right w:val="single" w:sz="1" w:space="0" w:color="A6A7A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BB366D" w14:textId="77777777" w:rsidR="008311FF" w:rsidRDefault="00000000">
            <w:r>
              <w:rPr>
                <w:sz w:val="18"/>
                <w:szCs w:val="18"/>
              </w:rPr>
              <w:t>Regressão Logística</w:t>
            </w:r>
          </w:p>
        </w:tc>
        <w:tc>
          <w:tcPr>
            <w:tcW w:w="1300" w:type="dxa"/>
            <w:tcBorders>
              <w:top w:val="single" w:sz="1" w:space="0" w:color="A6A7A9"/>
              <w:left w:val="single" w:sz="1" w:space="0" w:color="A6A7A9"/>
              <w:bottom w:val="single" w:sz="1" w:space="0" w:color="A6A7A9"/>
              <w:right w:val="single" w:sz="1" w:space="0" w:color="A6A7A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23E378" w14:textId="77777777" w:rsidR="008311FF" w:rsidRDefault="00000000">
            <w:r>
              <w:rPr>
                <w:sz w:val="18"/>
                <w:szCs w:val="18"/>
              </w:rPr>
              <w:t>78,9%</w:t>
            </w:r>
          </w:p>
        </w:tc>
        <w:tc>
          <w:tcPr>
            <w:tcW w:w="1300" w:type="dxa"/>
            <w:tcBorders>
              <w:top w:val="single" w:sz="1" w:space="0" w:color="A6A7A9"/>
              <w:left w:val="single" w:sz="1" w:space="0" w:color="A6A7A9"/>
              <w:bottom w:val="single" w:sz="1" w:space="0" w:color="A6A7A9"/>
              <w:right w:val="single" w:sz="1" w:space="0" w:color="A6A7A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DA2D57" w14:textId="77777777" w:rsidR="008311FF" w:rsidRDefault="00000000">
            <w:r>
              <w:rPr>
                <w:sz w:val="18"/>
                <w:szCs w:val="18"/>
              </w:rPr>
              <w:t>35,7%</w:t>
            </w:r>
          </w:p>
        </w:tc>
        <w:tc>
          <w:tcPr>
            <w:tcW w:w="1300" w:type="dxa"/>
            <w:tcBorders>
              <w:top w:val="single" w:sz="1" w:space="0" w:color="A6A7A9"/>
              <w:left w:val="single" w:sz="1" w:space="0" w:color="A6A7A9"/>
              <w:bottom w:val="single" w:sz="1" w:space="0" w:color="A6A7A9"/>
              <w:right w:val="single" w:sz="1" w:space="0" w:color="A6A7A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0A25AB" w14:textId="77777777" w:rsidR="008311FF" w:rsidRDefault="00000000">
            <w:r>
              <w:rPr>
                <w:sz w:val="18"/>
                <w:szCs w:val="18"/>
              </w:rPr>
              <w:t>74,1%</w:t>
            </w:r>
          </w:p>
        </w:tc>
        <w:tc>
          <w:tcPr>
            <w:tcW w:w="1400" w:type="dxa"/>
            <w:tcBorders>
              <w:top w:val="single" w:sz="1" w:space="0" w:color="A6A7A9"/>
              <w:left w:val="single" w:sz="1" w:space="0" w:color="A6A7A9"/>
              <w:bottom w:val="single" w:sz="1" w:space="0" w:color="A6A7A9"/>
              <w:right w:val="single" w:sz="1" w:space="0" w:color="A6A7A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53DA68" w14:textId="77777777" w:rsidR="008311FF" w:rsidRDefault="00000000">
            <w:r>
              <w:rPr>
                <w:sz w:val="18"/>
                <w:szCs w:val="18"/>
              </w:rPr>
              <w:t>0,482</w:t>
            </w:r>
          </w:p>
        </w:tc>
        <w:tc>
          <w:tcPr>
            <w:tcW w:w="1300" w:type="dxa"/>
            <w:tcBorders>
              <w:top w:val="single" w:sz="1" w:space="0" w:color="A6A7A9"/>
              <w:left w:val="single" w:sz="1" w:space="0" w:color="A6A7A9"/>
              <w:bottom w:val="single" w:sz="1" w:space="0" w:color="A6A7A9"/>
              <w:right w:val="single" w:sz="1" w:space="0" w:color="A6A7A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EE6D9F" w14:textId="77777777" w:rsidR="008311FF" w:rsidRDefault="00000000">
            <w:r>
              <w:rPr>
                <w:sz w:val="18"/>
                <w:szCs w:val="18"/>
              </w:rPr>
              <w:t>0,890</w:t>
            </w:r>
          </w:p>
        </w:tc>
      </w:tr>
      <w:tr w:rsidR="008311FF" w14:paraId="4C1852E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6A7A9"/>
              <w:left w:val="single" w:sz="1" w:space="0" w:color="A6A7A9"/>
              <w:bottom w:val="single" w:sz="1" w:space="0" w:color="A6A7A9"/>
              <w:right w:val="single" w:sz="1" w:space="0" w:color="A6A7A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41DC99" w14:textId="77777777" w:rsidR="008311FF" w:rsidRDefault="00000000">
            <w:r>
              <w:rPr>
                <w:sz w:val="18"/>
                <w:szCs w:val="18"/>
              </w:rPr>
              <w:t>Random Forest (selecionado)</w:t>
            </w:r>
          </w:p>
        </w:tc>
        <w:tc>
          <w:tcPr>
            <w:tcW w:w="1300" w:type="dxa"/>
            <w:tcBorders>
              <w:top w:val="single" w:sz="1" w:space="0" w:color="A6A7A9"/>
              <w:left w:val="single" w:sz="1" w:space="0" w:color="A6A7A9"/>
              <w:bottom w:val="single" w:sz="1" w:space="0" w:color="A6A7A9"/>
              <w:right w:val="single" w:sz="1" w:space="0" w:color="A6A7A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B8A748" w14:textId="77777777" w:rsidR="008311FF" w:rsidRDefault="00000000">
            <w:r>
              <w:rPr>
                <w:sz w:val="18"/>
                <w:szCs w:val="18"/>
              </w:rPr>
              <w:t>90,2%</w:t>
            </w:r>
          </w:p>
        </w:tc>
        <w:tc>
          <w:tcPr>
            <w:tcW w:w="1300" w:type="dxa"/>
            <w:tcBorders>
              <w:top w:val="single" w:sz="1" w:space="0" w:color="A6A7A9"/>
              <w:left w:val="single" w:sz="1" w:space="0" w:color="A6A7A9"/>
              <w:bottom w:val="single" w:sz="1" w:space="0" w:color="A6A7A9"/>
              <w:right w:val="single" w:sz="1" w:space="0" w:color="A6A7A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F65CDB" w14:textId="77777777" w:rsidR="008311FF" w:rsidRDefault="00000000">
            <w:r>
              <w:rPr>
                <w:sz w:val="18"/>
                <w:szCs w:val="18"/>
              </w:rPr>
              <w:t>62,1%</w:t>
            </w:r>
          </w:p>
        </w:tc>
        <w:tc>
          <w:tcPr>
            <w:tcW w:w="1300" w:type="dxa"/>
            <w:tcBorders>
              <w:top w:val="single" w:sz="1" w:space="0" w:color="A6A7A9"/>
              <w:left w:val="single" w:sz="1" w:space="0" w:color="A6A7A9"/>
              <w:bottom w:val="single" w:sz="1" w:space="0" w:color="A6A7A9"/>
              <w:right w:val="single" w:sz="1" w:space="0" w:color="A6A7A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552661" w14:textId="77777777" w:rsidR="008311FF" w:rsidRDefault="00000000">
            <w:r>
              <w:rPr>
                <w:sz w:val="18"/>
                <w:szCs w:val="18"/>
              </w:rPr>
              <w:t>66,7%</w:t>
            </w:r>
          </w:p>
        </w:tc>
        <w:tc>
          <w:tcPr>
            <w:tcW w:w="1400" w:type="dxa"/>
            <w:tcBorders>
              <w:top w:val="single" w:sz="1" w:space="0" w:color="A6A7A9"/>
              <w:left w:val="single" w:sz="1" w:space="0" w:color="A6A7A9"/>
              <w:bottom w:val="single" w:sz="1" w:space="0" w:color="A6A7A9"/>
              <w:right w:val="single" w:sz="1" w:space="0" w:color="A6A7A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AE5BF1" w14:textId="77777777" w:rsidR="008311FF" w:rsidRDefault="00000000">
            <w:r>
              <w:rPr>
                <w:sz w:val="18"/>
                <w:szCs w:val="18"/>
              </w:rPr>
              <w:t>0,643</w:t>
            </w:r>
          </w:p>
        </w:tc>
        <w:tc>
          <w:tcPr>
            <w:tcW w:w="1300" w:type="dxa"/>
            <w:tcBorders>
              <w:top w:val="single" w:sz="1" w:space="0" w:color="A6A7A9"/>
              <w:left w:val="single" w:sz="1" w:space="0" w:color="A6A7A9"/>
              <w:bottom w:val="single" w:sz="1" w:space="0" w:color="A6A7A9"/>
              <w:right w:val="single" w:sz="1" w:space="0" w:color="A6A7A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9D40A" w14:textId="77777777" w:rsidR="008311FF" w:rsidRDefault="00000000">
            <w:r>
              <w:rPr>
                <w:sz w:val="18"/>
                <w:szCs w:val="18"/>
              </w:rPr>
              <w:t>0,918</w:t>
            </w:r>
          </w:p>
        </w:tc>
      </w:tr>
      <w:tr w:rsidR="008311FF" w14:paraId="65F2416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6A7A9"/>
              <w:left w:val="single" w:sz="1" w:space="0" w:color="A6A7A9"/>
              <w:bottom w:val="single" w:sz="1" w:space="0" w:color="A6A7A9"/>
              <w:right w:val="single" w:sz="1" w:space="0" w:color="A6A7A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316EDD" w14:textId="77777777" w:rsidR="008311FF" w:rsidRDefault="00000000">
            <w:r>
              <w:rPr>
                <w:sz w:val="18"/>
                <w:szCs w:val="18"/>
              </w:rPr>
              <w:t>XGBoost</w:t>
            </w:r>
          </w:p>
        </w:tc>
        <w:tc>
          <w:tcPr>
            <w:tcW w:w="1300" w:type="dxa"/>
            <w:tcBorders>
              <w:top w:val="single" w:sz="1" w:space="0" w:color="A6A7A9"/>
              <w:left w:val="single" w:sz="1" w:space="0" w:color="A6A7A9"/>
              <w:bottom w:val="single" w:sz="1" w:space="0" w:color="A6A7A9"/>
              <w:right w:val="single" w:sz="1" w:space="0" w:color="A6A7A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76F34B" w14:textId="77777777" w:rsidR="008311FF" w:rsidRDefault="00000000">
            <w:r>
              <w:rPr>
                <w:sz w:val="18"/>
                <w:szCs w:val="18"/>
              </w:rPr>
              <w:t>90,7%</w:t>
            </w:r>
          </w:p>
        </w:tc>
        <w:tc>
          <w:tcPr>
            <w:tcW w:w="1300" w:type="dxa"/>
            <w:tcBorders>
              <w:top w:val="single" w:sz="1" w:space="0" w:color="A6A7A9"/>
              <w:left w:val="single" w:sz="1" w:space="0" w:color="A6A7A9"/>
              <w:bottom w:val="single" w:sz="1" w:space="0" w:color="A6A7A9"/>
              <w:right w:val="single" w:sz="1" w:space="0" w:color="A6A7A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606A60" w14:textId="77777777" w:rsidR="008311FF" w:rsidRDefault="00000000">
            <w:r>
              <w:rPr>
                <w:sz w:val="18"/>
                <w:szCs w:val="18"/>
              </w:rPr>
              <w:t>66,7%</w:t>
            </w:r>
          </w:p>
        </w:tc>
        <w:tc>
          <w:tcPr>
            <w:tcW w:w="1300" w:type="dxa"/>
            <w:tcBorders>
              <w:top w:val="single" w:sz="1" w:space="0" w:color="A6A7A9"/>
              <w:left w:val="single" w:sz="1" w:space="0" w:color="A6A7A9"/>
              <w:bottom w:val="single" w:sz="1" w:space="0" w:color="A6A7A9"/>
              <w:right w:val="single" w:sz="1" w:space="0" w:color="A6A7A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DDAE88" w14:textId="77777777" w:rsidR="008311FF" w:rsidRDefault="00000000">
            <w:r>
              <w:rPr>
                <w:sz w:val="18"/>
                <w:szCs w:val="18"/>
              </w:rPr>
              <w:t>59,3%</w:t>
            </w:r>
          </w:p>
        </w:tc>
        <w:tc>
          <w:tcPr>
            <w:tcW w:w="1400" w:type="dxa"/>
            <w:tcBorders>
              <w:top w:val="single" w:sz="1" w:space="0" w:color="A6A7A9"/>
              <w:left w:val="single" w:sz="1" w:space="0" w:color="A6A7A9"/>
              <w:bottom w:val="single" w:sz="1" w:space="0" w:color="A6A7A9"/>
              <w:right w:val="single" w:sz="1" w:space="0" w:color="A6A7A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7D6017" w14:textId="77777777" w:rsidR="008311FF" w:rsidRDefault="00000000">
            <w:r>
              <w:rPr>
                <w:sz w:val="18"/>
                <w:szCs w:val="18"/>
              </w:rPr>
              <w:t>0,627</w:t>
            </w:r>
          </w:p>
        </w:tc>
        <w:tc>
          <w:tcPr>
            <w:tcW w:w="1300" w:type="dxa"/>
            <w:tcBorders>
              <w:top w:val="single" w:sz="1" w:space="0" w:color="A6A7A9"/>
              <w:left w:val="single" w:sz="1" w:space="0" w:color="A6A7A9"/>
              <w:bottom w:val="single" w:sz="1" w:space="0" w:color="A6A7A9"/>
              <w:right w:val="single" w:sz="1" w:space="0" w:color="A6A7A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DC0D2E" w14:textId="77777777" w:rsidR="008311FF" w:rsidRDefault="00000000">
            <w:r>
              <w:rPr>
                <w:sz w:val="18"/>
                <w:szCs w:val="18"/>
              </w:rPr>
              <w:t>0,902</w:t>
            </w:r>
          </w:p>
        </w:tc>
      </w:tr>
    </w:tbl>
    <w:p w14:paraId="19C2EB66" w14:textId="77777777" w:rsidR="008311FF" w:rsidRDefault="008311FF">
      <w:pPr>
        <w:spacing w:after="120"/>
      </w:pPr>
    </w:p>
    <w:p w14:paraId="65CD74A1" w14:textId="77777777" w:rsidR="008311FF" w:rsidRDefault="00000000">
      <w:pPr>
        <w:spacing w:before="160" w:after="60"/>
        <w:jc w:val="center"/>
      </w:pPr>
      <w:r>
        <w:rPr>
          <w:noProof/>
        </w:rPr>
        <w:drawing>
          <wp:inline distT="0" distB="0" distL="0" distR="0" wp14:anchorId="384F1371" wp14:editId="4CA998D0">
            <wp:extent cx="5715000" cy="2828925"/>
            <wp:effectExtent l="0" t="0" r="0" b="0"/>
            <wp:docPr id="2109402676" name="08_comparacao_modelos.png" descr="Figura 4 — Desempenho comparado dos três modelos no conjunto de teste" title="Figura 4 — Desempenho comparado dos três modelos no conjunto de tes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036C2" w14:textId="77777777" w:rsidR="008311FF" w:rsidRDefault="00000000">
      <w:pPr>
        <w:spacing w:after="200"/>
        <w:jc w:val="center"/>
      </w:pPr>
      <w:r>
        <w:rPr>
          <w:i/>
          <w:iCs/>
          <w:color w:val="A6A7A9"/>
          <w:sz w:val="16"/>
          <w:szCs w:val="16"/>
        </w:rPr>
        <w:t>Figura 4 — Desempenho comparado dos três modelos no conjunto de teste</w:t>
      </w:r>
    </w:p>
    <w:p w14:paraId="21416408" w14:textId="77777777" w:rsidR="008311FF" w:rsidRDefault="00000000">
      <w:pPr>
        <w:spacing w:before="160" w:after="60"/>
        <w:jc w:val="center"/>
      </w:pPr>
      <w:r>
        <w:rPr>
          <w:noProof/>
        </w:rPr>
        <w:lastRenderedPageBreak/>
        <w:drawing>
          <wp:inline distT="0" distB="0" distL="0" distR="0" wp14:anchorId="21583756" wp14:editId="504F9491">
            <wp:extent cx="4191000" cy="3629025"/>
            <wp:effectExtent l="0" t="0" r="0" b="0"/>
            <wp:docPr id="1530930491" name="09_curvas_roc.png" descr="Figura 5 — Curvas ROC: o Random Forest domina as alternativas (AUC = 0,918)" title="Figura 5 — Curvas ROC: o Random Forest domina as alternativas (AUC = 0,918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7392E" w14:textId="77777777" w:rsidR="008311FF" w:rsidRDefault="00000000">
      <w:pPr>
        <w:spacing w:after="200"/>
        <w:jc w:val="center"/>
      </w:pPr>
      <w:r>
        <w:rPr>
          <w:i/>
          <w:iCs/>
          <w:color w:val="A6A7A9"/>
          <w:sz w:val="16"/>
          <w:szCs w:val="16"/>
        </w:rPr>
        <w:t>Figura 5 — Curvas ROC: o Random Forest domina as alternativas (AUC = 0,918)</w:t>
      </w:r>
    </w:p>
    <w:p w14:paraId="7E499557" w14:textId="77777777" w:rsidR="008311FF" w:rsidRDefault="00000000">
      <w:pPr>
        <w:pStyle w:val="Ttulo2"/>
      </w:pPr>
      <w:r>
        <w:t>4.2 Por que o Random Forest foi escolhido</w:t>
      </w:r>
    </w:p>
    <w:p w14:paraId="67F31F91" w14:textId="77777777" w:rsidR="008311FF" w:rsidRDefault="00000000">
      <w:pPr>
        <w:spacing w:after="120" w:line="280" w:lineRule="auto"/>
      </w:pPr>
      <w:r>
        <w:t>O Random Forest venceu nas três métricas mais relevantes para um problema desbalanceado: F1-score (0,643), ROC AUC (0,918) e Average Precision (0,732). O XGBoost apresenta acurácia marginalmente superior, porém encontra menos vinhos premium (recall de 59,3% contra 66,7%), e localizar os lotes premium é justamente o objetivo do case. A Regressão Logística, embora alcance recall alto, gera falsos positivos em excesso (precisão de 35,7%), o que comprometeria a credibilidade da classificação premium. Vale registrar o devido rigor estatístico: em validação cruzada os três modelos ficam tecnicamente empatados, e a vantagem pontual do Random Forest sobre o XGBoost no teste não é estatisticamente significativa (teste de McNemar, p = 1,0). A escolha se sustenta na consistência em todas as métricas e na Average Precision muito superior (0,732 contra 0,595), com a incerteza quantificada no notebook.</w:t>
      </w:r>
    </w:p>
    <w:p w14:paraId="750EEC58" w14:textId="77777777" w:rsidR="008311FF" w:rsidRDefault="00000000">
      <w:pPr>
        <w:spacing w:after="120" w:line="280" w:lineRule="auto"/>
      </w:pPr>
      <w:r>
        <w:t>Em termos práticos, a cada 204 lotes avaliados o modelo selecionado:</w:t>
      </w:r>
    </w:p>
    <w:p w14:paraId="588DD0AC" w14:textId="77777777" w:rsidR="008311FF" w:rsidRDefault="00000000">
      <w:pPr>
        <w:pStyle w:val="PargrafodaLista"/>
        <w:numPr>
          <w:ilvl w:val="0"/>
          <w:numId w:val="2"/>
        </w:numPr>
        <w:spacing w:after="80" w:line="280" w:lineRule="auto"/>
      </w:pPr>
      <w:r>
        <w:t>identifica corretamente 18 dos 27 vinhos premium (2 em cada 3);</w:t>
      </w:r>
    </w:p>
    <w:p w14:paraId="538B351E" w14:textId="77777777" w:rsidR="008311FF" w:rsidRDefault="00000000">
      <w:pPr>
        <w:pStyle w:val="PargrafodaLista"/>
        <w:numPr>
          <w:ilvl w:val="0"/>
          <w:numId w:val="2"/>
        </w:numPr>
        <w:spacing w:after="80" w:line="280" w:lineRule="auto"/>
      </w:pPr>
      <w:r>
        <w:t>erra em apenas 11 dos 177 vinhos comuns (≈ 6% de falsos positivos);</w:t>
      </w:r>
    </w:p>
    <w:p w14:paraId="1E81A98D" w14:textId="77777777" w:rsidR="008311FF" w:rsidRDefault="00000000">
      <w:pPr>
        <w:pStyle w:val="PargrafodaLista"/>
        <w:numPr>
          <w:ilvl w:val="0"/>
          <w:numId w:val="2"/>
        </w:numPr>
        <w:spacing w:after="80" w:line="280" w:lineRule="auto"/>
      </w:pPr>
      <w:r>
        <w:t>ordena corretamente um par (premium, comum) em 92% dos casos (ROC AUC).</w:t>
      </w:r>
    </w:p>
    <w:p w14:paraId="6F523E0B" w14:textId="77777777" w:rsidR="008311FF" w:rsidRDefault="00000000">
      <w:pPr>
        <w:spacing w:before="160" w:after="60"/>
        <w:jc w:val="center"/>
      </w:pPr>
      <w:r>
        <w:rPr>
          <w:noProof/>
        </w:rPr>
        <w:lastRenderedPageBreak/>
        <w:drawing>
          <wp:inline distT="0" distB="0" distL="0" distR="0" wp14:anchorId="18034C9B" wp14:editId="519E8630">
            <wp:extent cx="3619500" cy="3009900"/>
            <wp:effectExtent l="0" t="0" r="0" b="0"/>
            <wp:docPr id="2087752747" name="10_matriz_confusao.png" descr="Figura 6 — Matriz de confusão do Random Forest no conjunto de teste" title="Figura 6 — Matriz de confusão do Random Forest no conjunto de tes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31233" w14:textId="77777777" w:rsidR="008311FF" w:rsidRDefault="00000000">
      <w:pPr>
        <w:spacing w:after="200"/>
        <w:jc w:val="center"/>
      </w:pPr>
      <w:r>
        <w:rPr>
          <w:i/>
          <w:iCs/>
          <w:color w:val="A6A7A9"/>
          <w:sz w:val="16"/>
          <w:szCs w:val="16"/>
        </w:rPr>
        <w:t>Figura 6 — Matriz de confusão do Random Forest no conjunto de teste</w:t>
      </w:r>
    </w:p>
    <w:p w14:paraId="797DFF12" w14:textId="77777777" w:rsidR="008311FF" w:rsidRDefault="00000000">
      <w:pPr>
        <w:pStyle w:val="Ttulo2"/>
      </w:pPr>
      <w:r>
        <w:t>4.3 O que mais influencia a qualidade</w:t>
      </w:r>
    </w:p>
    <w:p w14:paraId="71AF5FDB" w14:textId="77777777" w:rsidR="008311FF" w:rsidRDefault="00000000">
      <w:pPr>
        <w:spacing w:after="120" w:line="280" w:lineRule="auto"/>
      </w:pPr>
      <w:r>
        <w:t>A importância das variáveis do modelo final é consistente com a análise exploratória e com a literatura enológica: teor alcoólico (17,7%), interação álcool × sulfatos (16,5%), acidez volátil (11,7%) e sulfatos (8,3%) lideram o ranking.</w:t>
      </w:r>
    </w:p>
    <w:p w14:paraId="6FFD3A62" w14:textId="77777777" w:rsidR="008311FF" w:rsidRDefault="00000000">
      <w:pPr>
        <w:spacing w:before="160" w:after="60"/>
        <w:jc w:val="center"/>
      </w:pPr>
      <w:r>
        <w:rPr>
          <w:noProof/>
        </w:rPr>
        <w:drawing>
          <wp:inline distT="0" distB="0" distL="0" distR="0" wp14:anchorId="498EBBE6" wp14:editId="03CB45F1">
            <wp:extent cx="5905500" cy="2505075"/>
            <wp:effectExtent l="0" t="0" r="0" b="0"/>
            <wp:docPr id="97446583" name="12_importancia_features.png" descr="Figura 7 — Importância das variáveis (Random Forest) e coeficientes padronizados (Regressão Logística)" title="Figura 7 — Importância das variáveis (Random Forest) e coeficientes padronizados (Regressão Logística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5BC1C" w14:textId="77777777" w:rsidR="008311FF" w:rsidRDefault="00000000">
      <w:pPr>
        <w:spacing w:after="200"/>
        <w:jc w:val="center"/>
      </w:pPr>
      <w:r>
        <w:rPr>
          <w:i/>
          <w:iCs/>
          <w:color w:val="A6A7A9"/>
          <w:sz w:val="16"/>
          <w:szCs w:val="16"/>
        </w:rPr>
        <w:t>Figura 7 — Importância das variáveis (Random Forest) e coeficientes padronizados (Regressão Logística)</w:t>
      </w:r>
    </w:p>
    <w:p w14:paraId="36FE576A" w14:textId="77777777" w:rsidR="008311FF" w:rsidRDefault="00000000">
      <w:r>
        <w:br w:type="page"/>
      </w:r>
    </w:p>
    <w:p w14:paraId="566C3DCC" w14:textId="77777777" w:rsidR="008311FF" w:rsidRDefault="00000000">
      <w:pPr>
        <w:pStyle w:val="Ttulo1"/>
      </w:pPr>
      <w:r>
        <w:lastRenderedPageBreak/>
        <w:t>5. Recomendações</w:t>
      </w:r>
    </w:p>
    <w:p w14:paraId="118B8F1B" w14:textId="77777777" w:rsidR="008311FF" w:rsidRDefault="008311FF">
      <w:pPr>
        <w:pBdr>
          <w:bottom w:val="single" w:sz="6" w:space="8" w:color="3896B4"/>
        </w:pBdr>
        <w:spacing w:before="120" w:after="240"/>
      </w:pPr>
    </w:p>
    <w:p w14:paraId="31FDCA0A" w14:textId="77777777" w:rsidR="008311FF" w:rsidRDefault="00000000">
      <w:pPr>
        <w:pStyle w:val="PargrafodaLista"/>
        <w:numPr>
          <w:ilvl w:val="0"/>
          <w:numId w:val="2"/>
        </w:numPr>
        <w:spacing w:after="80" w:line="280" w:lineRule="auto"/>
      </w:pPr>
      <w:r>
        <w:rPr>
          <w:b/>
          <w:bCs/>
        </w:rPr>
        <w:t xml:space="preserve">Adotar o modelo como triagem laboratorial: </w:t>
      </w:r>
      <w:r>
        <w:t>ranquear os lotes pela probabilidade de qualidade premium e direcionar o painel sensorial aos casos limítrofes, reduzindo custo e tempo de avaliação.</w:t>
      </w:r>
    </w:p>
    <w:p w14:paraId="703CA331" w14:textId="77777777" w:rsidR="008311FF" w:rsidRDefault="00000000">
      <w:pPr>
        <w:pStyle w:val="PargrafodaLista"/>
        <w:numPr>
          <w:ilvl w:val="0"/>
          <w:numId w:val="2"/>
        </w:numPr>
        <w:spacing w:after="80" w:line="280" w:lineRule="auto"/>
      </w:pPr>
      <w:r>
        <w:rPr>
          <w:b/>
          <w:bCs/>
        </w:rPr>
        <w:t xml:space="preserve">Atuar nas alavancas de processo: </w:t>
      </w:r>
      <w:r>
        <w:t>priorizar maturação e fermentação que elevem o teor alcoólico natural, manter a acidez volátil abaixo de ≈ 0,5 g/L e otimizar a dosagem de sulfatos por perfil de lote.</w:t>
      </w:r>
    </w:p>
    <w:p w14:paraId="614D8C87" w14:textId="77777777" w:rsidR="008311FF" w:rsidRDefault="00000000">
      <w:pPr>
        <w:pStyle w:val="PargrafodaLista"/>
        <w:numPr>
          <w:ilvl w:val="0"/>
          <w:numId w:val="2"/>
        </w:numPr>
        <w:spacing w:after="80" w:line="280" w:lineRule="auto"/>
      </w:pPr>
      <w:r>
        <w:rPr>
          <w:b/>
          <w:bCs/>
        </w:rPr>
        <w:t xml:space="preserve">Ampliar a base de dados, </w:t>
      </w:r>
      <w:r>
        <w:t>em especial de vinhos premium (apenas 137 exemplos), e incorporar variáveis de contexto como safra, casta e região — a melhoria de maior retorno esperado.</w:t>
      </w:r>
    </w:p>
    <w:p w14:paraId="77150F73" w14:textId="77777777" w:rsidR="008311FF" w:rsidRDefault="00000000">
      <w:pPr>
        <w:pStyle w:val="PargrafodaLista"/>
        <w:numPr>
          <w:ilvl w:val="0"/>
          <w:numId w:val="2"/>
        </w:numPr>
        <w:spacing w:after="80" w:line="280" w:lineRule="auto"/>
      </w:pPr>
      <w:r>
        <w:rPr>
          <w:b/>
          <w:bCs/>
        </w:rPr>
        <w:t xml:space="preserve">Evoluir o modelo: </w:t>
      </w:r>
      <w:r>
        <w:t>testar reamostragem (SMOTE), interpretabilidade por SHAP, calibração de probabilidades e ajuste do limiar de decisão conforme o custo de negócio de cada tipo de erro.</w:t>
      </w:r>
    </w:p>
    <w:p w14:paraId="7DFEAB01" w14:textId="77777777" w:rsidR="008311FF" w:rsidRDefault="00000000">
      <w:pPr>
        <w:pStyle w:val="Ttulo1"/>
      </w:pPr>
      <w:r>
        <w:t>6. Conclusão</w:t>
      </w:r>
    </w:p>
    <w:p w14:paraId="2DF34BDC" w14:textId="77777777" w:rsidR="008311FF" w:rsidRDefault="008311FF">
      <w:pPr>
        <w:pBdr>
          <w:bottom w:val="single" w:sz="6" w:space="8" w:color="3896B4"/>
        </w:pBdr>
        <w:spacing w:before="120" w:after="240"/>
      </w:pPr>
    </w:p>
    <w:p w14:paraId="69B2128F" w14:textId="77777777" w:rsidR="008311FF" w:rsidRDefault="00000000">
      <w:pPr>
        <w:spacing w:after="120" w:line="280" w:lineRule="auto"/>
      </w:pPr>
      <w:r>
        <w:t>Este projeto demonstrou, de ponta a ponta, que as medições físico-químicas já coletadas na rotina de laboratório são suficientes para prever a qualidade sensorial de um vinho com desempenho apto a uso real. O modelo final classifica corretamente 90,2% dos lotes, identifica dois de cada três vinhos premium e ordena um par premium/comum na sequência certa em 92% dos casos, sempre em dados que o modelo nunca havia visto. Mais do que prever, o modelo explica: teor alcoólico, acidez volátil e sulfatos concentram o poder preditivo, e são exatamente as variáveis que a vinícola consegue controlar.</w:t>
      </w:r>
    </w:p>
    <w:p w14:paraId="6F7ED768" w14:textId="77777777" w:rsidR="008311FF" w:rsidRDefault="00000000">
      <w:pPr>
        <w:spacing w:after="120" w:line="280" w:lineRule="auto"/>
      </w:pPr>
      <w:r>
        <w:t>O principal aprendizado que levo deste trabalho é metodológico: em problemas com classes raras, o rigor do desenho vale mais do que a sofisticação do algoritmo. Foi a remoção de duplicatas para impedir vazamento de dados, a divisão estratificada, a ponderação de classes e a escolha do F1-score como métrica de decisão que separaram um resultado confiável da acurácia ilusória de 86% que um modelo ingênuo alcançaria. Da mesma forma, novas variáveis só foram adotadas após provarem ganho em validação cruzada; a interação álcool × sulfatos tornou-se a segunda mais importante do modelo, evidência de que conhecimento de domínio e validação empírica, juntos, entregam mais do que qualquer ajuste de hiperparâmetro isolado.</w:t>
      </w:r>
    </w:p>
    <w:p w14:paraId="47A06C5A" w14:textId="77777777" w:rsidR="008311FF" w:rsidRDefault="00000000">
      <w:pPr>
        <w:spacing w:after="120" w:line="280" w:lineRule="auto"/>
      </w:pPr>
      <w:r>
        <w:t>O resultado é um pipeline completo, reproduzível e documentado, em que cada decisão, da formulação binária do problema à seleção do Random Forest, está sustentada por dados e justificada tecnicamente. É esse padrão de evidência que transforma um exercício de machine learning em uma ferramenta concreta de decisão de negócio.</w:t>
      </w:r>
    </w:p>
    <w:p w14:paraId="706983B2" w14:textId="77777777" w:rsidR="008311FF" w:rsidRDefault="008311FF">
      <w:pPr>
        <w:spacing w:before="300"/>
      </w:pPr>
    </w:p>
    <w:p w14:paraId="7A0B1C01" w14:textId="77777777" w:rsidR="008311FF" w:rsidRDefault="00000000">
      <w:pPr>
        <w:pStyle w:val="Ttulo1"/>
      </w:pPr>
      <w:r>
        <w:t>7. Referências</w:t>
      </w:r>
    </w:p>
    <w:p w14:paraId="1AEE3D0D" w14:textId="77777777" w:rsidR="008311FF" w:rsidRDefault="008311FF">
      <w:pPr>
        <w:pBdr>
          <w:bottom w:val="single" w:sz="6" w:space="8" w:color="3896B4"/>
        </w:pBdr>
        <w:spacing w:before="120" w:after="240"/>
      </w:pPr>
    </w:p>
    <w:p w14:paraId="7A0B1C02" w14:textId="77777777" w:rsidR="008311FF" w:rsidRDefault="00000000">
      <w:pPr>
        <w:spacing w:after="120" w:line="280" w:lineRule="auto"/>
      </w:pPr>
      <w:r>
        <w:t>CORTEZ, P.; CERDEIRA, A.; ALMEIDA, F.; MATOS, T.; REIS, J. Modeling wine preferences by data mining from physicochemical properties. Decision Support Systems, v. 47, n. 4, p. 547–553, 2009.</w:t>
      </w:r>
    </w:p>
    <w:p w14:paraId="7A0B1C03" w14:textId="77777777" w:rsidR="008311FF" w:rsidRDefault="00000000">
      <w:pPr>
        <w:spacing w:after="120" w:line="280" w:lineRule="auto"/>
      </w:pPr>
      <w:r>
        <w:t>YASSER H, M. Wine Quality Dataset. Kaggle, 2021. Disponível em: https://www.kaggle.com/datasets/yasserh/wine-quality-dataset. Acesso em: jul. 2026.</w:t>
      </w:r>
    </w:p>
    <w:p w14:paraId="7A0B1C04" w14:textId="77777777" w:rsidR="008311FF" w:rsidRDefault="00000000">
      <w:pPr>
        <w:spacing w:after="120" w:line="280" w:lineRule="auto"/>
      </w:pPr>
      <w:r>
        <w:t>PEDREGOSA, F. et al. Scikit-learn: Machine Learning in Python. Journal of Machine Learning Research, v. 12, p. 2825–2830, 2011.</w:t>
      </w:r>
    </w:p>
    <w:p w14:paraId="7A0B1C05" w14:textId="77777777" w:rsidR="008311FF" w:rsidRDefault="00000000">
      <w:pPr>
        <w:spacing w:after="120" w:line="280" w:lineRule="auto"/>
      </w:pPr>
      <w:r>
        <w:t>CHEN, T.; GUESTRIN, C. XGBoost: A Scalable Tree Boosting System. In: Proceedings of the 22nd ACM SIGKDD International Conference on Knowledge Discovery and Data Mining, p. 785–794, 2016.</w:t>
      </w:r>
    </w:p>
    <w:p w14:paraId="40A8D917" w14:textId="77777777" w:rsidR="008311FF" w:rsidRDefault="00000000">
      <w:pPr>
        <w:spacing w:after="120" w:line="280" w:lineRule="auto"/>
      </w:pPr>
      <w:r>
        <w:t>POSTECH. Tech Challenge — Fase 2: Classificando a qualidade de vinhos com Machine Learning. Documento do desafio, Pós-graduação em Data Analytics (DTAT), 2026.</w:t>
      </w:r>
    </w:p>
    <w:sectPr w:rsidR="008311FF">
      <w:footerReference w:type="default" r:id="rId14"/>
      <w:pgSz w:w="11906" w:h="16838"/>
      <w:pgMar w:top="1134" w:right="1134" w:bottom="1418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5AD6A8" w14:textId="77777777" w:rsidR="00DD0EC2" w:rsidRDefault="00DD0EC2">
      <w:r>
        <w:separator/>
      </w:r>
    </w:p>
  </w:endnote>
  <w:endnote w:type="continuationSeparator" w:id="0">
    <w:p w14:paraId="5AB93395" w14:textId="77777777" w:rsidR="00DD0EC2" w:rsidRDefault="00DD0E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venir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5690B2" w14:textId="77777777" w:rsidR="008311FF" w:rsidRDefault="00000000">
    <w:r>
      <w:rPr>
        <w:color w:val="A6A7A9"/>
        <w:sz w:val="14"/>
        <w:szCs w:val="14"/>
      </w:rPr>
      <w:t xml:space="preserve">Tech </w:t>
    </w:r>
    <w:proofErr w:type="spellStart"/>
    <w:r>
      <w:rPr>
        <w:color w:val="A6A7A9"/>
        <w:sz w:val="14"/>
        <w:szCs w:val="14"/>
      </w:rPr>
      <w:t>Challenge</w:t>
    </w:r>
    <w:proofErr w:type="spellEnd"/>
    <w:r>
      <w:rPr>
        <w:color w:val="A6A7A9"/>
        <w:sz w:val="14"/>
        <w:szCs w:val="14"/>
      </w:rPr>
      <w:t xml:space="preserve"> Fase 2 — </w:t>
    </w:r>
    <w:proofErr w:type="spellStart"/>
    <w:r>
      <w:rPr>
        <w:color w:val="A6A7A9"/>
        <w:sz w:val="14"/>
        <w:szCs w:val="14"/>
      </w:rPr>
      <w:t>Wine</w:t>
    </w:r>
    <w:proofErr w:type="spellEnd"/>
    <w:r>
      <w:rPr>
        <w:color w:val="A6A7A9"/>
        <w:sz w:val="14"/>
        <w:szCs w:val="14"/>
      </w:rPr>
      <w:t xml:space="preserve"> </w:t>
    </w:r>
    <w:proofErr w:type="spellStart"/>
    <w:r>
      <w:rPr>
        <w:color w:val="A6A7A9"/>
        <w:sz w:val="14"/>
        <w:szCs w:val="14"/>
      </w:rPr>
      <w:t>Quality</w:t>
    </w:r>
    <w:proofErr w:type="spellEnd"/>
    <w:r>
      <w:rPr>
        <w:color w:val="A6A7A9"/>
        <w:sz w:val="14"/>
        <w:szCs w:val="14"/>
      </w:rPr>
      <w:ptab w:relativeTo="margin" w:alignment="right" w:leader="none"/>
    </w:r>
    <w:r>
      <w:rPr>
        <w:color w:val="A6A7A9"/>
        <w:sz w:val="14"/>
        <w:szCs w:val="14"/>
      </w:rPr>
      <w:fldChar w:fldCharType="begin"/>
    </w:r>
    <w:r>
      <w:rPr>
        <w:color w:val="A6A7A9"/>
        <w:sz w:val="14"/>
        <w:szCs w:val="14"/>
      </w:rPr>
      <w:instrText>PAGE</w:instrText>
    </w:r>
    <w:r>
      <w:rPr>
        <w:color w:val="A6A7A9"/>
        <w:sz w:val="14"/>
        <w:szCs w:val="14"/>
      </w:rPr>
      <w:fldChar w:fldCharType="separate"/>
    </w:r>
    <w:r w:rsidR="00AD0B68">
      <w:rPr>
        <w:noProof/>
        <w:color w:val="A6A7A9"/>
        <w:sz w:val="14"/>
        <w:szCs w:val="14"/>
      </w:rPr>
      <w:t>1</w:t>
    </w:r>
    <w:r>
      <w:rPr>
        <w:color w:val="A6A7A9"/>
        <w:sz w:val="14"/>
        <w:szCs w:val="1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C941F9" w14:textId="77777777" w:rsidR="00DD0EC2" w:rsidRDefault="00DD0EC2">
      <w:r>
        <w:separator/>
      </w:r>
    </w:p>
  </w:footnote>
  <w:footnote w:type="continuationSeparator" w:id="0">
    <w:p w14:paraId="29933B0A" w14:textId="77777777" w:rsidR="00DD0EC2" w:rsidRDefault="00DD0EC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3B63E3"/>
    <w:multiLevelType w:val="hybridMultilevel"/>
    <w:tmpl w:val="9028E8BA"/>
    <w:lvl w:ilvl="0" w:tplc="A53698F8">
      <w:start w:val="1"/>
      <w:numFmt w:val="bullet"/>
      <w:lvlText w:val="•"/>
      <w:lvlJc w:val="left"/>
      <w:pPr>
        <w:ind w:left="720" w:hanging="360"/>
      </w:pPr>
      <w:rPr>
        <w:rFonts w:ascii="Avenir" w:eastAsia="Avenir" w:hAnsi="Avenir" w:cs="Avenir"/>
        <w:color w:val="333333"/>
        <w:sz w:val="20"/>
        <w:szCs w:val="20"/>
      </w:rPr>
    </w:lvl>
    <w:lvl w:ilvl="1" w:tplc="031E0648">
      <w:numFmt w:val="decimal"/>
      <w:lvlText w:val=""/>
      <w:lvlJc w:val="left"/>
    </w:lvl>
    <w:lvl w:ilvl="2" w:tplc="3DFAEF8E">
      <w:numFmt w:val="decimal"/>
      <w:lvlText w:val=""/>
      <w:lvlJc w:val="left"/>
    </w:lvl>
    <w:lvl w:ilvl="3" w:tplc="9DAC47CA">
      <w:numFmt w:val="decimal"/>
      <w:lvlText w:val=""/>
      <w:lvlJc w:val="left"/>
    </w:lvl>
    <w:lvl w:ilvl="4" w:tplc="918E9176">
      <w:numFmt w:val="decimal"/>
      <w:lvlText w:val=""/>
      <w:lvlJc w:val="left"/>
    </w:lvl>
    <w:lvl w:ilvl="5" w:tplc="F886B632">
      <w:numFmt w:val="decimal"/>
      <w:lvlText w:val=""/>
      <w:lvlJc w:val="left"/>
    </w:lvl>
    <w:lvl w:ilvl="6" w:tplc="431AA252">
      <w:numFmt w:val="decimal"/>
      <w:lvlText w:val=""/>
      <w:lvlJc w:val="left"/>
    </w:lvl>
    <w:lvl w:ilvl="7" w:tplc="CC046EAC">
      <w:numFmt w:val="decimal"/>
      <w:lvlText w:val=""/>
      <w:lvlJc w:val="left"/>
    </w:lvl>
    <w:lvl w:ilvl="8" w:tplc="1E98391E">
      <w:numFmt w:val="decimal"/>
      <w:lvlText w:val=""/>
      <w:lvlJc w:val="left"/>
    </w:lvl>
  </w:abstractNum>
  <w:abstractNum w:abstractNumId="1" w15:restartNumberingAfterBreak="0">
    <w:nsid w:val="67DC2668"/>
    <w:multiLevelType w:val="hybridMultilevel"/>
    <w:tmpl w:val="8E165BDE"/>
    <w:lvl w:ilvl="0" w:tplc="D0968E12">
      <w:start w:val="1"/>
      <w:numFmt w:val="bullet"/>
      <w:lvlText w:val="●"/>
      <w:lvlJc w:val="left"/>
      <w:pPr>
        <w:ind w:left="720" w:hanging="360"/>
      </w:pPr>
    </w:lvl>
    <w:lvl w:ilvl="1" w:tplc="C354F9B2">
      <w:start w:val="1"/>
      <w:numFmt w:val="bullet"/>
      <w:lvlText w:val="○"/>
      <w:lvlJc w:val="left"/>
      <w:pPr>
        <w:ind w:left="1440" w:hanging="360"/>
      </w:pPr>
    </w:lvl>
    <w:lvl w:ilvl="2" w:tplc="AC328C1A">
      <w:start w:val="1"/>
      <w:numFmt w:val="bullet"/>
      <w:lvlText w:val="■"/>
      <w:lvlJc w:val="left"/>
      <w:pPr>
        <w:ind w:left="2160" w:hanging="360"/>
      </w:pPr>
    </w:lvl>
    <w:lvl w:ilvl="3" w:tplc="381293FA">
      <w:start w:val="1"/>
      <w:numFmt w:val="bullet"/>
      <w:lvlText w:val="●"/>
      <w:lvlJc w:val="left"/>
      <w:pPr>
        <w:ind w:left="2880" w:hanging="360"/>
      </w:pPr>
    </w:lvl>
    <w:lvl w:ilvl="4" w:tplc="7CDA2B76">
      <w:start w:val="1"/>
      <w:numFmt w:val="bullet"/>
      <w:lvlText w:val="○"/>
      <w:lvlJc w:val="left"/>
      <w:pPr>
        <w:ind w:left="3600" w:hanging="360"/>
      </w:pPr>
    </w:lvl>
    <w:lvl w:ilvl="5" w:tplc="BD389650">
      <w:start w:val="1"/>
      <w:numFmt w:val="bullet"/>
      <w:lvlText w:val="■"/>
      <w:lvlJc w:val="left"/>
      <w:pPr>
        <w:ind w:left="4320" w:hanging="360"/>
      </w:pPr>
    </w:lvl>
    <w:lvl w:ilvl="6" w:tplc="ECFE92F2">
      <w:start w:val="1"/>
      <w:numFmt w:val="bullet"/>
      <w:lvlText w:val="●"/>
      <w:lvlJc w:val="left"/>
      <w:pPr>
        <w:ind w:left="5040" w:hanging="360"/>
      </w:pPr>
    </w:lvl>
    <w:lvl w:ilvl="7" w:tplc="FBF45EF8">
      <w:start w:val="1"/>
      <w:numFmt w:val="bullet"/>
      <w:lvlText w:val="●"/>
      <w:lvlJc w:val="left"/>
      <w:pPr>
        <w:ind w:left="5760" w:hanging="360"/>
      </w:pPr>
    </w:lvl>
    <w:lvl w:ilvl="8" w:tplc="E7484172">
      <w:start w:val="1"/>
      <w:numFmt w:val="bullet"/>
      <w:lvlText w:val="●"/>
      <w:lvlJc w:val="left"/>
      <w:pPr>
        <w:ind w:left="6480" w:hanging="360"/>
      </w:pPr>
    </w:lvl>
  </w:abstractNum>
  <w:num w:numId="1" w16cid:durableId="709459239">
    <w:abstractNumId w:val="1"/>
    <w:lvlOverride w:ilvl="0">
      <w:startOverride w:val="1"/>
    </w:lvlOverride>
  </w:num>
  <w:num w:numId="2" w16cid:durableId="182604811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11FF"/>
    <w:rsid w:val="008311FF"/>
    <w:rsid w:val="009D3E29"/>
    <w:rsid w:val="00AD0B68"/>
    <w:rsid w:val="00DD0E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270FC1"/>
  <w15:docId w15:val="{20215433-9AAD-4798-BBF5-59CF75A8FD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venir" w:eastAsia="Avenir" w:hAnsi="Avenir" w:cs="Avenir"/>
        <w:color w:val="333333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100" w:line="280" w:lineRule="auto"/>
      <w:outlineLvl w:val="0"/>
    </w:pPr>
    <w:rPr>
      <w:b/>
      <w:bCs/>
      <w:color w:val="000000"/>
      <w:sz w:val="32"/>
      <w:szCs w:val="32"/>
    </w:rPr>
  </w:style>
  <w:style w:type="paragraph" w:styleId="Ttulo2">
    <w:name w:val="heading 2"/>
    <w:uiPriority w:val="9"/>
    <w:unhideWhenUsed/>
    <w:qFormat/>
    <w:pPr>
      <w:spacing w:before="280" w:after="160" w:line="280" w:lineRule="auto"/>
      <w:outlineLvl w:val="1"/>
    </w:pPr>
    <w:rPr>
      <w:b/>
      <w:bCs/>
      <w:color w:val="000000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1212</Words>
  <Characters>6549</Characters>
  <Application>Microsoft Office Word</Application>
  <DocSecurity>0</DocSecurity>
  <Lines>54</Lines>
  <Paragraphs>15</Paragraphs>
  <ScaleCrop>false</ScaleCrop>
  <Company/>
  <LinksUpToDate>false</LinksUpToDate>
  <CharactersWithSpaces>7746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Ana Paula Corrêa Galdino</dc:creator>
  <cp:lastModifiedBy>Ana Paula Corrêa Galdino</cp:lastModifiedBy>
  <cp:revision>2</cp:revision>
  <dcterms:created xsi:type="dcterms:W3CDTF">2026-07-08T01:45:00Z</dcterms:created>
  <dcterms:modified xsi:type="dcterms:W3CDTF">2026-07-08T16:37:00Z</dcterms:modified>
</cp:coreProperties>
</file>