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B4FB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1. Relative Compactness</w:t>
      </w:r>
    </w:p>
    <w:p w14:paraId="0950C48C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Continuous (float)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Ratio of the building’s volume to the volume of a cube with the same surface area. Higher values indicate a more compact shape (less exterior surface per unit of volume).</w:t>
      </w:r>
    </w:p>
    <w:p w14:paraId="7A90EDA5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2. Surface Area</w:t>
      </w:r>
    </w:p>
    <w:p w14:paraId="24F9DB63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Continuous (float)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Total external surface area of the building envelope (m²). Larger values correspond to larger exposed surfaces and thus greater potential heat loss/gain.</w:t>
      </w:r>
    </w:p>
    <w:p w14:paraId="206235F7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3. Wall Area</w:t>
      </w:r>
    </w:p>
    <w:p w14:paraId="72BD05C4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Continuous (float)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Total exterior wall area of the building (m²).</w:t>
      </w:r>
    </w:p>
    <w:p w14:paraId="58932384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4. Roof Area</w:t>
      </w:r>
    </w:p>
    <w:p w14:paraId="1FC66DC6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Continuous (float)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Total roof surface area (m²).</w:t>
      </w:r>
    </w:p>
    <w:p w14:paraId="1A6E1136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 xml:space="preserve">5. </w:t>
      </w:r>
      <w:proofErr w:type="gramStart"/>
      <w:r w:rsidRPr="008949F4">
        <w:rPr>
          <w:b/>
          <w:bCs/>
        </w:rPr>
        <w:t>Overall</w:t>
      </w:r>
      <w:proofErr w:type="gramEnd"/>
      <w:r w:rsidRPr="008949F4">
        <w:rPr>
          <w:b/>
          <w:bCs/>
        </w:rPr>
        <w:t xml:space="preserve"> Height</w:t>
      </w:r>
    </w:p>
    <w:p w14:paraId="0B96F4A6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Categorical (integer codes)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Total height of the building (metres).</w:t>
      </w:r>
      <w:r w:rsidRPr="008949F4">
        <w:br/>
      </w:r>
      <w:r w:rsidRPr="008949F4">
        <w:rPr>
          <w:i/>
          <w:iCs/>
        </w:rPr>
        <w:t>Original categories:</w:t>
      </w:r>
    </w:p>
    <w:p w14:paraId="39344857" w14:textId="77777777" w:rsidR="008949F4" w:rsidRPr="008949F4" w:rsidRDefault="008949F4" w:rsidP="008949F4">
      <w:pPr>
        <w:numPr>
          <w:ilvl w:val="0"/>
          <w:numId w:val="1"/>
        </w:numPr>
      </w:pPr>
      <w:r w:rsidRPr="008949F4">
        <w:t xml:space="preserve">1 → </w:t>
      </w:r>
      <w:r w:rsidRPr="008949F4">
        <w:rPr>
          <w:b/>
          <w:bCs/>
        </w:rPr>
        <w:t>3.5 m</w:t>
      </w:r>
    </w:p>
    <w:p w14:paraId="25C808C0" w14:textId="77777777" w:rsidR="008949F4" w:rsidRPr="008949F4" w:rsidRDefault="008949F4" w:rsidP="008949F4">
      <w:pPr>
        <w:numPr>
          <w:ilvl w:val="0"/>
          <w:numId w:val="1"/>
        </w:numPr>
      </w:pPr>
      <w:r w:rsidRPr="008949F4">
        <w:t xml:space="preserve">2 → </w:t>
      </w:r>
      <w:r w:rsidRPr="008949F4">
        <w:rPr>
          <w:b/>
          <w:bCs/>
        </w:rPr>
        <w:t>7.0 m</w:t>
      </w:r>
    </w:p>
    <w:p w14:paraId="06046ABF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6. Orientation</w:t>
      </w:r>
    </w:p>
    <w:p w14:paraId="727FCF51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Categorical (integer codes)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Direction the building faces, which influences solar gain.</w:t>
      </w:r>
      <w:r w:rsidRPr="008949F4">
        <w:br/>
      </w:r>
      <w:r w:rsidRPr="008949F4">
        <w:rPr>
          <w:i/>
          <w:iCs/>
        </w:rPr>
        <w:t>Original categories:</w:t>
      </w:r>
    </w:p>
    <w:p w14:paraId="2C413D87" w14:textId="77777777" w:rsidR="008949F4" w:rsidRPr="008949F4" w:rsidRDefault="008949F4" w:rsidP="008949F4">
      <w:pPr>
        <w:numPr>
          <w:ilvl w:val="0"/>
          <w:numId w:val="2"/>
        </w:numPr>
      </w:pPr>
      <w:r w:rsidRPr="008949F4">
        <w:t xml:space="preserve">1 → </w:t>
      </w:r>
      <w:r w:rsidRPr="008949F4">
        <w:rPr>
          <w:b/>
          <w:bCs/>
        </w:rPr>
        <w:t>North</w:t>
      </w:r>
    </w:p>
    <w:p w14:paraId="5DE23B7C" w14:textId="77777777" w:rsidR="008949F4" w:rsidRPr="008949F4" w:rsidRDefault="008949F4" w:rsidP="008949F4">
      <w:pPr>
        <w:numPr>
          <w:ilvl w:val="0"/>
          <w:numId w:val="2"/>
        </w:numPr>
      </w:pPr>
      <w:r w:rsidRPr="008949F4">
        <w:t xml:space="preserve">2 → </w:t>
      </w:r>
      <w:r w:rsidRPr="008949F4">
        <w:rPr>
          <w:b/>
          <w:bCs/>
        </w:rPr>
        <w:t>East</w:t>
      </w:r>
    </w:p>
    <w:p w14:paraId="4B10DCE9" w14:textId="77777777" w:rsidR="008949F4" w:rsidRPr="008949F4" w:rsidRDefault="008949F4" w:rsidP="008949F4">
      <w:pPr>
        <w:numPr>
          <w:ilvl w:val="0"/>
          <w:numId w:val="2"/>
        </w:numPr>
      </w:pPr>
      <w:r w:rsidRPr="008949F4">
        <w:t xml:space="preserve">3 → </w:t>
      </w:r>
      <w:r w:rsidRPr="008949F4">
        <w:rPr>
          <w:b/>
          <w:bCs/>
        </w:rPr>
        <w:t>South</w:t>
      </w:r>
    </w:p>
    <w:p w14:paraId="60F7C0D1" w14:textId="77777777" w:rsidR="008949F4" w:rsidRPr="008949F4" w:rsidRDefault="008949F4" w:rsidP="008949F4">
      <w:pPr>
        <w:numPr>
          <w:ilvl w:val="0"/>
          <w:numId w:val="2"/>
        </w:numPr>
      </w:pPr>
      <w:r w:rsidRPr="008949F4">
        <w:t xml:space="preserve">4 → </w:t>
      </w:r>
      <w:r w:rsidRPr="008949F4">
        <w:rPr>
          <w:b/>
          <w:bCs/>
        </w:rPr>
        <w:t>West</w:t>
      </w:r>
    </w:p>
    <w:p w14:paraId="1BACFA87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7. Glazing Area</w:t>
      </w:r>
    </w:p>
    <w:p w14:paraId="5613D666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Categorical (integer codes)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Percentage of the façade that is glazed (i.e., window area as a fraction of wall area).</w:t>
      </w:r>
      <w:r w:rsidRPr="008949F4">
        <w:br/>
      </w:r>
      <w:r w:rsidRPr="008949F4">
        <w:rPr>
          <w:i/>
          <w:iCs/>
        </w:rPr>
        <w:t>Original categories:</w:t>
      </w:r>
    </w:p>
    <w:p w14:paraId="5214DA39" w14:textId="77777777" w:rsidR="008949F4" w:rsidRPr="008949F4" w:rsidRDefault="008949F4" w:rsidP="008949F4">
      <w:pPr>
        <w:numPr>
          <w:ilvl w:val="0"/>
          <w:numId w:val="3"/>
        </w:numPr>
      </w:pPr>
      <w:r w:rsidRPr="008949F4">
        <w:t xml:space="preserve">1 → </w:t>
      </w:r>
      <w:r w:rsidRPr="008949F4">
        <w:rPr>
          <w:b/>
          <w:bCs/>
        </w:rPr>
        <w:t>0 %</w:t>
      </w:r>
    </w:p>
    <w:p w14:paraId="0504AE61" w14:textId="77777777" w:rsidR="008949F4" w:rsidRPr="008949F4" w:rsidRDefault="008949F4" w:rsidP="008949F4">
      <w:pPr>
        <w:numPr>
          <w:ilvl w:val="0"/>
          <w:numId w:val="3"/>
        </w:numPr>
      </w:pPr>
      <w:r w:rsidRPr="008949F4">
        <w:t xml:space="preserve">2 → </w:t>
      </w:r>
      <w:r w:rsidRPr="008949F4">
        <w:rPr>
          <w:b/>
          <w:bCs/>
        </w:rPr>
        <w:t>10 %</w:t>
      </w:r>
    </w:p>
    <w:p w14:paraId="1FA26168" w14:textId="77777777" w:rsidR="008949F4" w:rsidRPr="008949F4" w:rsidRDefault="008949F4" w:rsidP="008949F4">
      <w:pPr>
        <w:numPr>
          <w:ilvl w:val="0"/>
          <w:numId w:val="3"/>
        </w:numPr>
      </w:pPr>
      <w:r w:rsidRPr="008949F4">
        <w:t xml:space="preserve">3 → </w:t>
      </w:r>
      <w:r w:rsidRPr="008949F4">
        <w:rPr>
          <w:b/>
          <w:bCs/>
        </w:rPr>
        <w:t>25 %</w:t>
      </w:r>
    </w:p>
    <w:p w14:paraId="337FA607" w14:textId="77777777" w:rsidR="008949F4" w:rsidRPr="008949F4" w:rsidRDefault="008949F4" w:rsidP="008949F4">
      <w:pPr>
        <w:numPr>
          <w:ilvl w:val="0"/>
          <w:numId w:val="3"/>
        </w:numPr>
      </w:pPr>
      <w:r w:rsidRPr="008949F4">
        <w:lastRenderedPageBreak/>
        <w:t xml:space="preserve">4 → </w:t>
      </w:r>
      <w:r w:rsidRPr="008949F4">
        <w:rPr>
          <w:b/>
          <w:bCs/>
        </w:rPr>
        <w:t>40 %</w:t>
      </w:r>
    </w:p>
    <w:p w14:paraId="43112CD0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8. Glazing Area Distribution</w:t>
      </w:r>
    </w:p>
    <w:p w14:paraId="04F11257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Categorical (integer codes)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Distribution of the glazing across the building’s four façades.</w:t>
      </w:r>
      <w:r w:rsidRPr="008949F4">
        <w:br/>
      </w:r>
      <w:r w:rsidRPr="008949F4">
        <w:rPr>
          <w:i/>
          <w:iCs/>
        </w:rPr>
        <w:t>Original categories:</w:t>
      </w:r>
    </w:p>
    <w:p w14:paraId="2F5940DD" w14:textId="77777777" w:rsidR="008949F4" w:rsidRPr="008949F4" w:rsidRDefault="008949F4" w:rsidP="008949F4">
      <w:pPr>
        <w:numPr>
          <w:ilvl w:val="0"/>
          <w:numId w:val="4"/>
        </w:numPr>
      </w:pPr>
      <w:r w:rsidRPr="008949F4">
        <w:t xml:space="preserve">1 → </w:t>
      </w:r>
      <w:r w:rsidRPr="008949F4">
        <w:rPr>
          <w:b/>
          <w:bCs/>
        </w:rPr>
        <w:t>Uniform</w:t>
      </w:r>
      <w:r w:rsidRPr="008949F4">
        <w:t xml:space="preserve"> (equal on all sides)</w:t>
      </w:r>
    </w:p>
    <w:p w14:paraId="0E1A2D0A" w14:textId="77777777" w:rsidR="008949F4" w:rsidRPr="008949F4" w:rsidRDefault="008949F4" w:rsidP="008949F4">
      <w:pPr>
        <w:numPr>
          <w:ilvl w:val="0"/>
          <w:numId w:val="4"/>
        </w:numPr>
      </w:pPr>
      <w:r w:rsidRPr="008949F4">
        <w:t xml:space="preserve">2 → </w:t>
      </w:r>
      <w:r w:rsidRPr="008949F4">
        <w:rPr>
          <w:b/>
          <w:bCs/>
        </w:rPr>
        <w:t>North</w:t>
      </w:r>
      <w:r w:rsidRPr="008949F4">
        <w:t xml:space="preserve"> (all glazing on the north façade)</w:t>
      </w:r>
    </w:p>
    <w:p w14:paraId="1D3E8871" w14:textId="77777777" w:rsidR="008949F4" w:rsidRPr="008949F4" w:rsidRDefault="008949F4" w:rsidP="008949F4">
      <w:pPr>
        <w:numPr>
          <w:ilvl w:val="0"/>
          <w:numId w:val="4"/>
        </w:numPr>
      </w:pPr>
      <w:r w:rsidRPr="008949F4">
        <w:t xml:space="preserve">3 → </w:t>
      </w:r>
      <w:r w:rsidRPr="008949F4">
        <w:rPr>
          <w:b/>
          <w:bCs/>
        </w:rPr>
        <w:t>East</w:t>
      </w:r>
      <w:r w:rsidRPr="008949F4">
        <w:t xml:space="preserve"> (all glazing on the east façade)</w:t>
      </w:r>
    </w:p>
    <w:p w14:paraId="0305062F" w14:textId="77777777" w:rsidR="008949F4" w:rsidRPr="008949F4" w:rsidRDefault="008949F4" w:rsidP="008949F4">
      <w:pPr>
        <w:numPr>
          <w:ilvl w:val="0"/>
          <w:numId w:val="4"/>
        </w:numPr>
      </w:pPr>
      <w:r w:rsidRPr="008949F4">
        <w:t xml:space="preserve">4 → </w:t>
      </w:r>
      <w:r w:rsidRPr="008949F4">
        <w:rPr>
          <w:b/>
          <w:bCs/>
        </w:rPr>
        <w:t>South</w:t>
      </w:r>
      <w:r w:rsidRPr="008949F4">
        <w:t xml:space="preserve"> (all glazing on the south façade)</w:t>
      </w:r>
    </w:p>
    <w:p w14:paraId="72CAF637" w14:textId="77777777" w:rsidR="008949F4" w:rsidRPr="008949F4" w:rsidRDefault="008949F4" w:rsidP="008949F4">
      <w:pPr>
        <w:numPr>
          <w:ilvl w:val="0"/>
          <w:numId w:val="4"/>
        </w:numPr>
      </w:pPr>
      <w:r w:rsidRPr="008949F4">
        <w:t xml:space="preserve">5 → </w:t>
      </w:r>
      <w:r w:rsidRPr="008949F4">
        <w:rPr>
          <w:b/>
          <w:bCs/>
        </w:rPr>
        <w:t>West</w:t>
      </w:r>
      <w:r w:rsidRPr="008949F4">
        <w:t xml:space="preserve"> (all glazing on the west façade)</w:t>
      </w:r>
    </w:p>
    <w:p w14:paraId="6F547E36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9. Heating Load</w:t>
      </w:r>
    </w:p>
    <w:p w14:paraId="177AD37B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Continuous (float)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Annual heating requirement (kWh/m²) to maintain indoor thermal comfort.</w:t>
      </w:r>
    </w:p>
    <w:p w14:paraId="5E0FE4E2" w14:textId="77777777" w:rsidR="008949F4" w:rsidRPr="008949F4" w:rsidRDefault="008949F4" w:rsidP="008949F4">
      <w:pPr>
        <w:rPr>
          <w:b/>
          <w:bCs/>
        </w:rPr>
      </w:pPr>
      <w:r w:rsidRPr="008949F4">
        <w:rPr>
          <w:b/>
          <w:bCs/>
        </w:rPr>
        <w:t>10. Cooling Load</w:t>
      </w:r>
    </w:p>
    <w:p w14:paraId="22CC8BB8" w14:textId="77777777" w:rsidR="008949F4" w:rsidRPr="008949F4" w:rsidRDefault="008949F4" w:rsidP="008949F4">
      <w:r w:rsidRPr="008949F4">
        <w:rPr>
          <w:i/>
          <w:iCs/>
        </w:rPr>
        <w:t>Type:</w:t>
      </w:r>
      <w:r w:rsidRPr="008949F4">
        <w:t xml:space="preserve"> </w:t>
      </w:r>
      <w:r w:rsidRPr="008949F4">
        <w:rPr>
          <w:b/>
          <w:bCs/>
        </w:rPr>
        <w:t>Continuous (float)</w:t>
      </w:r>
      <w:r w:rsidRPr="008949F4">
        <w:br/>
      </w:r>
      <w:r w:rsidRPr="008949F4">
        <w:rPr>
          <w:i/>
          <w:iCs/>
        </w:rPr>
        <w:t>Meaning:</w:t>
      </w:r>
      <w:r w:rsidRPr="008949F4">
        <w:t xml:space="preserve"> Annual cooling requirement (kWh/m²) to maintain indoor thermal comfort.</w:t>
      </w:r>
    </w:p>
    <w:p w14:paraId="68E62FEB" w14:textId="77777777" w:rsidR="00F97222" w:rsidRDefault="00F97222"/>
    <w:sectPr w:rsidR="00F97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6F31"/>
    <w:multiLevelType w:val="multilevel"/>
    <w:tmpl w:val="DA6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82543"/>
    <w:multiLevelType w:val="multilevel"/>
    <w:tmpl w:val="5F7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518A0"/>
    <w:multiLevelType w:val="multilevel"/>
    <w:tmpl w:val="E41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64304"/>
    <w:multiLevelType w:val="multilevel"/>
    <w:tmpl w:val="681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43AC2"/>
    <w:multiLevelType w:val="multilevel"/>
    <w:tmpl w:val="CF0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10809">
    <w:abstractNumId w:val="3"/>
  </w:num>
  <w:num w:numId="2" w16cid:durableId="45029661">
    <w:abstractNumId w:val="0"/>
  </w:num>
  <w:num w:numId="3" w16cid:durableId="245726778">
    <w:abstractNumId w:val="1"/>
  </w:num>
  <w:num w:numId="4" w16cid:durableId="989596104">
    <w:abstractNumId w:val="2"/>
  </w:num>
  <w:num w:numId="5" w16cid:durableId="27075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F4"/>
    <w:rsid w:val="002A7211"/>
    <w:rsid w:val="008949F4"/>
    <w:rsid w:val="00F9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7284"/>
  <w15:chartTrackingRefBased/>
  <w15:docId w15:val="{41735B24-5B45-49F9-A759-71BCDAC6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Kaveh Kiani</dc:creator>
  <cp:keywords/>
  <dc:description/>
  <cp:lastModifiedBy>Kaveh Kiani</cp:lastModifiedBy>
  <cp:revision>1</cp:revision>
  <dcterms:created xsi:type="dcterms:W3CDTF">2025-09-23T13:21:00Z</dcterms:created>
  <dcterms:modified xsi:type="dcterms:W3CDTF">2025-09-23T13:37:00Z</dcterms:modified>
</cp:coreProperties>
</file>