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31889D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05-07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7F9AA23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B16D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429528C8" w:rsidR="000C1AAA" w:rsidRPr="00601DB3" w:rsidRDefault="00176FD1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09C31052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1841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139659F4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E40BD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51914EC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40BD8">
              <w:rPr>
                <w:rFonts w:asciiTheme="minorHAnsi" w:hAnsiTheme="minorHAnsi" w:cstheme="minorHAnsi"/>
                <w:b/>
                <w:sz w:val="22"/>
                <w:szCs w:val="22"/>
              </w:rPr>
              <w:t>ESTRUCTURA BÁSICA DE UNA PÁGINA WEB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0D36642F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>un planteamiento de un sitio web basándose en el proceso de diseño web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. Para ello el alumnado deberá realizar las siguientes tareas: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645516E" w14:textId="376FF9BF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la cabecera básica para los archivos en HTML.</w:t>
            </w:r>
          </w:p>
          <w:p w14:paraId="5DCCD4E6" w14:textId="1512BC8F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Tipo de documento</w:t>
            </w:r>
          </w:p>
          <w:p w14:paraId="0AD88375" w14:textId="69FB2C8D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Lenguaje del documento</w:t>
            </w:r>
          </w:p>
          <w:p w14:paraId="63E90C44" w14:textId="0D1CF07B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Codificación del documento</w:t>
            </w:r>
          </w:p>
          <w:p w14:paraId="2A42535C" w14:textId="394761C4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Estándares de HTML.</w:t>
            </w:r>
          </w:p>
          <w:p w14:paraId="027E7AEB" w14:textId="6B4B6360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las etiquetas para señalar las partes de la página web.</w:t>
            </w:r>
          </w:p>
          <w:p w14:paraId="463053EF" w14:textId="06AFFB83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Cuerpo</w:t>
            </w:r>
          </w:p>
          <w:p w14:paraId="28507AED" w14:textId="0B2B45FF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Encabezado</w:t>
            </w:r>
          </w:p>
          <w:p w14:paraId="1628F5A5" w14:textId="7B149282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</w:p>
          <w:p w14:paraId="5F45868D" w14:textId="38C3F172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una pequeña descripción en formato texto de cada una de las partes.</w:t>
            </w:r>
          </w:p>
          <w:p w14:paraId="50127BCE" w14:textId="11A32D46" w:rsidR="00A125B5" w:rsidRDefault="00A125B5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en el cuerpo de la página web los siguientes elementos:</w:t>
            </w:r>
          </w:p>
          <w:p w14:paraId="57ABDA8B" w14:textId="5481C6CC" w:rsidR="00A125B5" w:rsidRDefault="00286E78" w:rsidP="00A125B5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 secciones:</w:t>
            </w:r>
          </w:p>
          <w:p w14:paraId="11B458D4" w14:textId="3A7CCCAF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primera sección:</w:t>
            </w:r>
          </w:p>
          <w:p w14:paraId="60C52D77" w14:textId="05C5FFA0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video</w:t>
            </w:r>
          </w:p>
          <w:p w14:paraId="2FDA49EE" w14:textId="7F4A6253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segunda sección:</w:t>
            </w:r>
          </w:p>
          <w:p w14:paraId="3BE44210" w14:textId="3FCCEDE8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texto destacado (h2)</w:t>
            </w:r>
          </w:p>
          <w:p w14:paraId="33CFC43C" w14:textId="7567EA66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párrafo</w:t>
            </w:r>
          </w:p>
          <w:p w14:paraId="70EC918A" w14:textId="17EC5E51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imagen</w:t>
            </w:r>
          </w:p>
          <w:p w14:paraId="7BBD2033" w14:textId="77777777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En la tercera sección:</w:t>
            </w:r>
          </w:p>
          <w:p w14:paraId="79634CCA" w14:textId="401E09E7" w:rsidR="005E26E8" w:rsidRP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</w:t>
            </w:r>
            <w:r w:rsidR="005E26E8"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n mapa de Gran Canaria de medidas 550 x 550</w:t>
            </w:r>
          </w:p>
          <w:p w14:paraId="364FAFEE" w14:textId="495C4ACD" w:rsidR="00A125B5" w:rsidRPr="007F408D" w:rsidRDefault="00A125B5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Incluir en el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página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una imagen con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enlace a </w:t>
            </w:r>
            <w:r w:rsidRPr="00A125B5">
              <w:rPr>
                <w:rFonts w:asciiTheme="minorHAnsi" w:hAnsiTheme="minorHAnsi" w:cstheme="minorHAnsi"/>
                <w:bCs/>
                <w:sz w:val="20"/>
                <w:szCs w:val="20"/>
              </w:rPr>
              <w:t>https://fuerteventura2000.com/</w:t>
            </w:r>
          </w:p>
          <w:p w14:paraId="7C51AEDE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67C87879" w14:textId="77777777" w:rsidR="00732D8B" w:rsidRDefault="00732D8B" w:rsidP="00732D8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Determina las diferentes partes de un documento creado con lenguaje de marcas utilizado para su implementación.</w:t>
            </w:r>
          </w:p>
          <w:p w14:paraId="79193D27" w14:textId="26B779CD" w:rsidR="00436E63" w:rsidRPr="00732D8B" w:rsidRDefault="002464A0" w:rsidP="00732D8B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6548F194" w:rsidR="00436E63" w:rsidRPr="00F903CB" w:rsidRDefault="00732D8B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Determina las diferentes partes de un documento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6F93AB4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732D8B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732D8B"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partes de un documento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45F40C52" w14:textId="77777777" w:rsidR="00732D8B" w:rsidRDefault="00732D8B" w:rsidP="00732D8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 en el mercado para mejorar la integración en el sistema y elaboración de documentos según el diseño especificado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657124B" w14:textId="4FFA073A" w:rsidR="002464A0" w:rsidRPr="00732D8B" w:rsidRDefault="002464A0" w:rsidP="00732D8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7373AB1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732D8B"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D2BDEDC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732D8B"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="00732D8B"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técnicas de desarrollo de software existentes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3670E5ED" w14:textId="41DB2940" w:rsidR="005E26E8" w:rsidRPr="005E26E8" w:rsidRDefault="00732D8B" w:rsidP="00732D8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 interna en el desarrollo según las especificaciones del diseño.</w:t>
            </w:r>
          </w:p>
          <w:p w14:paraId="630C0192" w14:textId="0EA97423" w:rsidR="005E26E8" w:rsidRPr="00F903CB" w:rsidRDefault="005E26E8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5E26E8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02E6DD00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732D8B"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55BE8A0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732D8B">
              <w:rPr>
                <w:rFonts w:asciiTheme="minorHAnsi" w:hAnsiTheme="minorHAnsi" w:cstheme="minorHAnsi"/>
                <w:sz w:val="20"/>
                <w:szCs w:val="20"/>
              </w:rPr>
              <w:t>Entiende las</w:t>
            </w:r>
            <w:r w:rsidR="00732D8B"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marcas adecuadas para generar la documentación</w:t>
            </w:r>
            <w:r w:rsidR="00732D8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1366E055" w14:textId="77777777" w:rsid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usuario contando con especificaciones dadas.</w:t>
            </w:r>
          </w:p>
          <w:p w14:paraId="15BABBED" w14:textId="255A50A8" w:rsidR="002E02D6" w:rsidRPr="002E02D6" w:rsidRDefault="002E02D6" w:rsidP="002E02D6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26E8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1E9E33F1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0D8D98BC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4.2 Aplica las marcas en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6FF77DDE" w14:textId="77777777" w:rsidR="00286E78" w:rsidRPr="007F408D" w:rsidRDefault="00286E78" w:rsidP="00286E78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>un planteamiento de un sitio web basándose en el proceso de diseño web</w:t>
      </w:r>
      <w:r w:rsidRPr="007F408D">
        <w:rPr>
          <w:rFonts w:asciiTheme="minorHAnsi" w:hAnsiTheme="minorHAnsi" w:cstheme="minorHAnsi"/>
          <w:bCs/>
          <w:sz w:val="20"/>
          <w:szCs w:val="20"/>
        </w:rPr>
        <w:t>. Para ello el alumnado deberá realizar las siguientes tareas:</w:t>
      </w:r>
    </w:p>
    <w:p w14:paraId="04A49B46" w14:textId="77777777" w:rsidR="00286E78" w:rsidRPr="007F408D" w:rsidRDefault="00286E78" w:rsidP="00286E78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E57604" w14:textId="77777777" w:rsidR="00286E78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la cabecera básica para los archivos en HTML.</w:t>
      </w:r>
    </w:p>
    <w:p w14:paraId="32ED4A06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Tipo de documento</w:t>
      </w:r>
    </w:p>
    <w:p w14:paraId="543DA876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Lenguaje del documento</w:t>
      </w:r>
    </w:p>
    <w:p w14:paraId="5C74A05D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Codificación del documento</w:t>
      </w:r>
    </w:p>
    <w:p w14:paraId="01390667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Estándares de HTML.</w:t>
      </w:r>
    </w:p>
    <w:p w14:paraId="03B73F24" w14:textId="77777777" w:rsidR="00286E78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las etiquetas para señalar las partes de la página web.</w:t>
      </w:r>
    </w:p>
    <w:p w14:paraId="27FDF184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Cuerpo</w:t>
      </w:r>
    </w:p>
    <w:p w14:paraId="54272515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Encabezado</w:t>
      </w:r>
    </w:p>
    <w:p w14:paraId="7CC68628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Pie</w:t>
      </w:r>
    </w:p>
    <w:p w14:paraId="6715A7DC" w14:textId="77777777" w:rsidR="00286E78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una pequeña descripción en formato texto de cada una de las partes.</w:t>
      </w:r>
    </w:p>
    <w:p w14:paraId="44D5A286" w14:textId="77777777" w:rsidR="00286E78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en el cuerpo de la página web los siguientes elementos:</w:t>
      </w:r>
    </w:p>
    <w:p w14:paraId="52C8D555" w14:textId="77777777" w:rsidR="00286E78" w:rsidRDefault="00286E78" w:rsidP="00286E78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 secciones:</w:t>
      </w:r>
    </w:p>
    <w:p w14:paraId="7DACF1DF" w14:textId="77777777" w:rsidR="00286E78" w:rsidRDefault="00286E78" w:rsidP="00286E78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primera sección:</w:t>
      </w:r>
    </w:p>
    <w:p w14:paraId="6EC7E99A" w14:textId="77777777" w:rsidR="00286E78" w:rsidRDefault="00286E78" w:rsidP="00286E78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video</w:t>
      </w:r>
    </w:p>
    <w:p w14:paraId="0659A0E0" w14:textId="77777777" w:rsidR="00286E78" w:rsidRDefault="00286E78" w:rsidP="00286E78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segunda sección:</w:t>
      </w:r>
    </w:p>
    <w:p w14:paraId="377D6274" w14:textId="77777777" w:rsidR="00286E78" w:rsidRDefault="00286E78" w:rsidP="00286E78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texto destacado (h2)</w:t>
      </w:r>
    </w:p>
    <w:p w14:paraId="6036D501" w14:textId="77777777" w:rsidR="00286E78" w:rsidRDefault="00286E78" w:rsidP="00286E78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párrafo</w:t>
      </w:r>
    </w:p>
    <w:p w14:paraId="3296718A" w14:textId="77777777" w:rsidR="00286E78" w:rsidRDefault="00286E78" w:rsidP="00286E78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Una imagen</w:t>
      </w:r>
    </w:p>
    <w:p w14:paraId="508E7D5E" w14:textId="77777777" w:rsidR="00286E78" w:rsidRDefault="00286E78" w:rsidP="00286E78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6E78">
        <w:rPr>
          <w:rFonts w:asciiTheme="minorHAnsi" w:hAnsiTheme="minorHAnsi" w:cstheme="minorHAnsi"/>
          <w:bCs/>
          <w:sz w:val="20"/>
          <w:szCs w:val="20"/>
        </w:rPr>
        <w:t>En la tercera sección:</w:t>
      </w:r>
    </w:p>
    <w:p w14:paraId="056C6EDF" w14:textId="77777777" w:rsidR="00286E78" w:rsidRPr="00286E78" w:rsidRDefault="00286E78" w:rsidP="00286E78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</w:t>
      </w:r>
      <w:r w:rsidRPr="00286E78">
        <w:rPr>
          <w:rFonts w:asciiTheme="minorHAnsi" w:hAnsiTheme="minorHAnsi" w:cstheme="minorHAnsi"/>
          <w:bCs/>
          <w:sz w:val="20"/>
          <w:szCs w:val="20"/>
        </w:rPr>
        <w:t>n mapa de Gran Canaria de medidas 550 x 550</w:t>
      </w:r>
    </w:p>
    <w:p w14:paraId="2BE60DD2" w14:textId="467ED65F" w:rsidR="00286E78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Incluir en el pie de la página una imagen con un enlace a </w:t>
      </w:r>
      <w:hyperlink r:id="rId8" w:history="1">
        <w:r w:rsidRPr="00DC000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https://fuerteventura2000.com/</w:t>
        </w:r>
      </w:hyperlink>
    </w:p>
    <w:p w14:paraId="725745C7" w14:textId="79AF711C" w:rsidR="00286E78" w:rsidRPr="007F408D" w:rsidRDefault="00286E78" w:rsidP="00286E78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 la página a continuación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33ACFC98" w14:textId="77777777" w:rsidR="00286E78" w:rsidRPr="007F408D" w:rsidRDefault="00286E78" w:rsidP="00286E78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E631BC1" w14:textId="77777777" w:rsidR="00286E78" w:rsidRPr="007F408D" w:rsidRDefault="00286E78" w:rsidP="00286E78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61AD0559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1FBAB52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B16DBB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r w:rsidRPr="00B16DBB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16DBB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EE83E0E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B16DBB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B16DBB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B16DBB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B16DBB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16DBB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EA1940C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head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B97F06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meta</w:t>
      </w: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 </w:t>
      </w:r>
      <w:r w:rsidRPr="00B16DBB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charset</w:t>
      </w: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B16DBB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"UTF-8"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4B1440" w14:textId="22BF9EC5" w:rsid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head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C3AB8D2" w14:textId="093E2275" w:rsidR="00A125B5" w:rsidRPr="00B16DBB" w:rsidRDefault="00A125B5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gramStart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&lt;!—</w:t>
      </w:r>
      <w:proofErr w:type="spellStart"/>
      <w:proofErr w:type="gramEnd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Esto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 xml:space="preserve"> es </w:t>
      </w:r>
      <w:proofErr w:type="spellStart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rl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cuerpo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 xml:space="preserve"> de la </w:t>
      </w:r>
      <w:proofErr w:type="spellStart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página</w:t>
      </w:r>
      <w:proofErr w:type="spellEnd"/>
      <w:r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 xml:space="preserve"> web </w:t>
      </w:r>
      <w:r w:rsidRPr="00A125B5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sym w:font="Wingdings" w:char="F0E0"/>
      </w:r>
    </w:p>
    <w:p w14:paraId="35549386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body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8AC3EF8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header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2F867EA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EB76236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header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3F8229" w14:textId="77777777" w:rsidR="00B16DBB" w:rsidRPr="00B16DBB" w:rsidRDefault="00B16DBB" w:rsidP="00B16DB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br/>
      </w:r>
    </w:p>
    <w:p w14:paraId="2B716937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footer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8DE2272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3CDC437C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B16DBB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footer</w:t>
      </w:r>
      <w:r w:rsidRPr="00B16DBB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915BE3E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16DBB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 xml:space="preserve">    </w:t>
      </w:r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16DBB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2303455" w14:textId="77777777" w:rsidR="00B16DBB" w:rsidRPr="00B16DBB" w:rsidRDefault="00B16DBB" w:rsidP="00B16DB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B16DBB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B16DBB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63D67C8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lastRenderedPageBreak/>
        <w:t>&lt;!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C34716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A8AF242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F7C8A98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7DDC109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1434B9C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Gran Canaria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DB89B9B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E364D91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44A9FB9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Cabecera de la web--&gt;</w:t>
      </w:r>
    </w:p>
    <w:p w14:paraId="453060B0" w14:textId="1752455E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FA143B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3E70288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0591937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Sección 1 contendrá un vídeo que pegaremos desde </w:t>
      </w:r>
      <w:proofErr w:type="spell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youtube</w:t>
      </w:r>
      <w:proofErr w:type="spell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--&gt;</w:t>
      </w:r>
    </w:p>
    <w:p w14:paraId="7529058E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1C709BB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"560"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"315"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"https://www.youtube.com/embed/sZ9QwVtHxrA"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"YouTube video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player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frameborder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"0"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allow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accelerometer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autoplay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clipboard-write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encrypted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-media;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gyroscope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picture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in-picture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; web-share"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BCD1770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608E89F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ED0F9CC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Sección 2 contará con una imagen y un texto sobre la misma--&gt;</w:t>
      </w:r>
    </w:p>
    <w:p w14:paraId="220BDF61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853EAA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Sardina del norte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EC1E2F6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es simplemente el texto de relleno de las imprentas y archivos de texto.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especimen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No sólo sobrevivió 500 años, sino que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tambien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ingresó como texto de relleno en documentos electrónicos, quedando esencialmente igual al original. Fue popularizado en los 60s con la creación de las hojas "Letraset", las cuales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contenian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pasajes de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y más recientemente con software de autoedición, como por ejemplo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Aldus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PageMaker, el cual incluye versiones de </w:t>
      </w:r>
      <w:proofErr w:type="spell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gram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/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F2CE416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"sardina.jpg"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"Playa sardina del norte"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8370F57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542CEF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F4CACBC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Sección 3 contendrá un mapa de Gran Canaria embebido desde </w:t>
      </w:r>
      <w:proofErr w:type="spell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google</w:t>
      </w:r>
      <w:proofErr w:type="spell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maps</w:t>
      </w:r>
      <w:proofErr w:type="spell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--&gt;</w:t>
      </w:r>
    </w:p>
    <w:p w14:paraId="0B8B6EF5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F2C6B7E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"https://www.google.com/maps/embed?pb=!1m14!1m12!1m3!1d225189.07672452834!2d-15.529002493964645!3d28.128847136657217!2m3!1f0!2f0!3f0!3m2!1i1024!2i768!4f13.1!5e0!3m2!1ses!2ses!4v1688566626128!5m2!1ses!2ses"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style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"border:0;"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loading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lazy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referrerpolicy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"no-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referrer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when-downgrade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624AD58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81AEA74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BA123AE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proofErr w:type="gramStart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>Footer</w:t>
      </w:r>
      <w:proofErr w:type="spellEnd"/>
      <w:r w:rsidRPr="00930935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con logotipo de la academia Fuerteventura 2000 y link a su página web--&gt;</w:t>
      </w:r>
    </w:p>
    <w:p w14:paraId="5FE2A53F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4EA5654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target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"_</w:t>
      </w:r>
      <w:proofErr w:type="spellStart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blank</w:t>
      </w:r>
      <w:proofErr w:type="spellEnd"/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"https://fuerteventura2000.com/"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"logoFuerteventura_2000.png"</w:t>
      </w: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30935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930935">
        <w:rPr>
          <w:rFonts w:ascii="Consolas" w:eastAsia="Times New Roman" w:hAnsi="Consolas"/>
          <w:color w:val="CE9178"/>
          <w:sz w:val="21"/>
          <w:szCs w:val="21"/>
          <w:lang w:eastAsia="es-ES"/>
        </w:rPr>
        <w:t>"Logo Fuerteventura 2000"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CFE9254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D409B19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28AEE37" w14:textId="77777777" w:rsidR="00930935" w:rsidRPr="00930935" w:rsidRDefault="00930935" w:rsidP="0093093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930935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930935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5EB2CE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1841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4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7"/>
        <w:gridCol w:w="3078"/>
        <w:gridCol w:w="4338"/>
        <w:gridCol w:w="741"/>
        <w:gridCol w:w="739"/>
      </w:tblGrid>
      <w:tr w:rsidR="00AC7CEE" w:rsidRPr="000C1AAA" w14:paraId="0DBAAAD5" w14:textId="77777777" w:rsidTr="002E02D6">
        <w:trPr>
          <w:trHeight w:val="300"/>
        </w:trPr>
        <w:tc>
          <w:tcPr>
            <w:tcW w:w="1352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303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E02D6" w:rsidRPr="000C1AAA" w14:paraId="2FD1DD3B" w14:textId="77777777" w:rsidTr="002E02D6">
        <w:trPr>
          <w:trHeight w:val="567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0E05B1E6" w14:textId="32B74275" w:rsidR="002E02D6" w:rsidRPr="002E02D6" w:rsidRDefault="002E02D6" w:rsidP="002E02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02D6">
              <w:rPr>
                <w:rFonts w:asciiTheme="minorHAnsi" w:hAnsiTheme="minorHAnsi" w:cstheme="minorHAnsi"/>
                <w:sz w:val="20"/>
                <w:szCs w:val="20"/>
              </w:rPr>
              <w:t>Determina las diferentes partes de un documento creado con lenguaje de marcas utilizado para su implementación.</w:t>
            </w:r>
          </w:p>
          <w:p w14:paraId="068107E4" w14:textId="0B868E4A" w:rsidR="002E02D6" w:rsidRPr="002464A0" w:rsidRDefault="002E02D6" w:rsidP="002E02D6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1F1863C3" w14:textId="282F5C91" w:rsidR="002E02D6" w:rsidRPr="004C2418" w:rsidRDefault="002E02D6" w:rsidP="002E02D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Determina las diferentes partes de un documento</w:t>
            </w:r>
          </w:p>
        </w:tc>
        <w:tc>
          <w:tcPr>
            <w:tcW w:w="1779" w:type="pct"/>
            <w:shd w:val="clear" w:color="auto" w:fill="auto"/>
          </w:tcPr>
          <w:p w14:paraId="05B7F095" w14:textId="5D081E02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E02D6">
              <w:rPr>
                <w:sz w:val="20"/>
                <w:szCs w:val="20"/>
              </w:rPr>
              <w:t xml:space="preserve">Determina las diferentes partes de un documento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289388EB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E02D6">
              <w:rPr>
                <w:sz w:val="20"/>
                <w:szCs w:val="20"/>
              </w:rPr>
              <w:t xml:space="preserve">Determina las diferentes partes de un documento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0E1DFE2E" w:rsidR="002E02D6" w:rsidRPr="00DB5309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E02D6">
              <w:rPr>
                <w:sz w:val="20"/>
                <w:szCs w:val="20"/>
              </w:rPr>
              <w:t xml:space="preserve">Determina las diferentes partes de un documento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304" w:type="pct"/>
            <w:shd w:val="clear" w:color="auto" w:fill="auto"/>
          </w:tcPr>
          <w:p w14:paraId="0BE2683A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77777777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2FACD9C4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3172426" w14:textId="3444B379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532289B0" w14:textId="77777777" w:rsidTr="002E02D6">
        <w:trPr>
          <w:trHeight w:val="675"/>
        </w:trPr>
        <w:tc>
          <w:tcPr>
            <w:tcW w:w="1352" w:type="pct"/>
            <w:vMerge/>
            <w:shd w:val="clear" w:color="auto" w:fill="auto"/>
            <w:vAlign w:val="center"/>
          </w:tcPr>
          <w:p w14:paraId="2120E1EC" w14:textId="77777777" w:rsidR="002E02D6" w:rsidRPr="000C1AAA" w:rsidRDefault="002E02D6" w:rsidP="002E02D6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0587EB23" w14:textId="4EAF8CAE" w:rsidR="002E02D6" w:rsidRPr="004C2418" w:rsidRDefault="002E02D6" w:rsidP="002E02D6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Comprende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partes de un documento</w:t>
            </w:r>
          </w:p>
        </w:tc>
        <w:tc>
          <w:tcPr>
            <w:tcW w:w="1779" w:type="pct"/>
            <w:shd w:val="clear" w:color="auto" w:fill="auto"/>
          </w:tcPr>
          <w:p w14:paraId="4A544D5E" w14:textId="4C26002C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partes de un documento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2D268194" w:rsidR="002E02D6" w:rsidRPr="00DB5309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partes de un documento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63D4DABE" w:rsidR="002E02D6" w:rsidRPr="00DB5309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partes de un documento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304" w:type="pct"/>
            <w:shd w:val="clear" w:color="auto" w:fill="auto"/>
          </w:tcPr>
          <w:p w14:paraId="38701F38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77777777" w:rsidR="002E02D6" w:rsidRDefault="002E02D6" w:rsidP="002E02D6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149E92CE" w14:textId="24AE17A5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328FEBEA" w14:textId="77777777" w:rsidTr="002E02D6">
        <w:trPr>
          <w:trHeight w:val="865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3FB4DFFA" w14:textId="77777777" w:rsidR="002E02D6" w:rsidRDefault="002E02D6" w:rsidP="002E02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 en el mercado para mejorar la integración en el sistema y elaboración de documentos según el diseño especificado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90161D3" w14:textId="77777777" w:rsidR="002E02D6" w:rsidRPr="00732D8B" w:rsidRDefault="002E02D6" w:rsidP="002E02D6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2E02D6" w:rsidRPr="002464A0" w:rsidRDefault="002E02D6" w:rsidP="002E02D6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C55FF72" w14:textId="6512939F" w:rsidR="002E02D6" w:rsidRPr="004C2418" w:rsidRDefault="002E02D6" w:rsidP="002E02D6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</w:t>
            </w:r>
          </w:p>
        </w:tc>
        <w:tc>
          <w:tcPr>
            <w:tcW w:w="1779" w:type="pct"/>
            <w:shd w:val="clear" w:color="auto" w:fill="auto"/>
          </w:tcPr>
          <w:p w14:paraId="3A35A86F" w14:textId="23F2A4C0" w:rsidR="002E02D6" w:rsidRDefault="002E02D6" w:rsidP="002E02D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71CAD3C" w:rsidR="002E02D6" w:rsidRDefault="002E02D6" w:rsidP="002E02D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1EB9CC0" w:rsidR="002E02D6" w:rsidRPr="00DB5309" w:rsidRDefault="002E02D6" w:rsidP="002E02D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Reconoce las diferentes técnicas de desarrollo de software existentes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304" w:type="pct"/>
            <w:shd w:val="clear" w:color="auto" w:fill="auto"/>
          </w:tcPr>
          <w:p w14:paraId="299204C8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2E02D6" w:rsidRDefault="002E02D6" w:rsidP="002E02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2E02D6" w:rsidRPr="000C1AAA" w:rsidRDefault="002E02D6" w:rsidP="002E02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3052FB1C" w14:textId="6E9889AD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2E02D6" w:rsidRPr="000C1AAA" w:rsidRDefault="002E02D6" w:rsidP="002E02D6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69A209AC" w14:textId="77777777" w:rsidTr="002E02D6">
        <w:trPr>
          <w:trHeight w:val="865"/>
        </w:trPr>
        <w:tc>
          <w:tcPr>
            <w:tcW w:w="1352" w:type="pct"/>
            <w:vMerge/>
            <w:shd w:val="clear" w:color="auto" w:fill="auto"/>
            <w:vAlign w:val="center"/>
          </w:tcPr>
          <w:p w14:paraId="565A50E4" w14:textId="02803260" w:rsidR="002E02D6" w:rsidRPr="005E26E8" w:rsidRDefault="002E02D6" w:rsidP="002E02D6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1DE0F58" w14:textId="14B62EE7" w:rsidR="002E02D6" w:rsidRPr="004C2418" w:rsidRDefault="002E02D6" w:rsidP="002E02D6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técnicas de desarrollo de software existentes</w:t>
            </w:r>
          </w:p>
        </w:tc>
        <w:tc>
          <w:tcPr>
            <w:tcW w:w="1779" w:type="pct"/>
            <w:shd w:val="clear" w:color="auto" w:fill="auto"/>
          </w:tcPr>
          <w:p w14:paraId="1EFF9EFA" w14:textId="572B3852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técnicas de desarrollo de software existentes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35954B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técnicas de desarrollo de software existentes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626FFC8B" w14:textId="56DE1489" w:rsidR="002E02D6" w:rsidRPr="00DB5309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las diferentes técnicas de desarrollo de software existentes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473D74A6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938FAC7" w14:textId="77777777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7202538" w14:textId="3DD3B2AB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D7A1F76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2E02D6" w:rsidRPr="000C1AAA" w:rsidRDefault="002E02D6" w:rsidP="002E02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0448F562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B4E1463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CEAA9AF" w14:textId="5115EDCC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2E02D6" w:rsidRP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73989409" w14:textId="77777777" w:rsidTr="002E02D6">
        <w:trPr>
          <w:trHeight w:val="994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2C321C3A" w14:textId="77777777" w:rsidR="002E02D6" w:rsidRPr="005E26E8" w:rsidRDefault="002E02D6" w:rsidP="002E02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 interna en el desarrollo según las especificaciones del diseño.</w:t>
            </w:r>
          </w:p>
          <w:p w14:paraId="19719B6A" w14:textId="77777777" w:rsidR="002E02D6" w:rsidRPr="005E26E8" w:rsidRDefault="002E02D6" w:rsidP="002E02D6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Pr="005E26E8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  <w:p w14:paraId="3663E9C8" w14:textId="77777777" w:rsidR="002E02D6" w:rsidRDefault="002E02D6" w:rsidP="002E02D6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7331A87" w14:textId="73224764" w:rsidR="002E02D6" w:rsidRPr="002464A0" w:rsidRDefault="002E02D6" w:rsidP="002E02D6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E8D85D5" w14:textId="320C60F1" w:rsidR="002E02D6" w:rsidRPr="00F903CB" w:rsidRDefault="002E02D6" w:rsidP="002E02D6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3.1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</w:t>
            </w:r>
          </w:p>
        </w:tc>
        <w:tc>
          <w:tcPr>
            <w:tcW w:w="1779" w:type="pct"/>
            <w:shd w:val="clear" w:color="auto" w:fill="auto"/>
          </w:tcPr>
          <w:p w14:paraId="2E8DE71F" w14:textId="03348CB9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3E089AF0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46541F95" w14:textId="31832ACD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Utiliza marcas adecuadas para generar la documentación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1F96615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60C712D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7588670C" w14:textId="77777777" w:rsidTr="002E02D6">
        <w:trPr>
          <w:trHeight w:val="994"/>
        </w:trPr>
        <w:tc>
          <w:tcPr>
            <w:tcW w:w="1352" w:type="pct"/>
            <w:vMerge/>
            <w:shd w:val="clear" w:color="auto" w:fill="auto"/>
            <w:vAlign w:val="center"/>
          </w:tcPr>
          <w:p w14:paraId="25C31E83" w14:textId="77777777" w:rsidR="002E02D6" w:rsidRPr="002464A0" w:rsidRDefault="002E02D6" w:rsidP="002E02D6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97641A9" w14:textId="1FEFDBBD" w:rsidR="002E02D6" w:rsidRPr="00F903CB" w:rsidRDefault="002E02D6" w:rsidP="002E02D6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Entiende las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marcas adecuadas para generar la documentación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79" w:type="pct"/>
            <w:shd w:val="clear" w:color="auto" w:fill="auto"/>
          </w:tcPr>
          <w:p w14:paraId="71D0C734" w14:textId="09119BF5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marcas adecuadas para generar la documentación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6D18A71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marcas adecuadas para generar la documentación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58C1C177" w14:textId="65B8DDDB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marcas adecuadas para generar la documentación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BC40B0F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2E02D6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2E02D6" w:rsidRPr="00DB5309" w:rsidRDefault="002E02D6" w:rsidP="002E02D6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3BD39079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2E02D6" w:rsidRPr="00DB5309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1CA98763" w14:textId="77777777" w:rsidTr="002E02D6">
        <w:trPr>
          <w:trHeight w:val="449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4D2342F6" w14:textId="55EA9B2D" w:rsidR="002E02D6" w:rsidRPr="002E02D6" w:rsidRDefault="002E02D6" w:rsidP="002E02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E02D6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usuario contando con especificaciones dadas.</w:t>
            </w:r>
          </w:p>
          <w:p w14:paraId="5E8AC8BA" w14:textId="17D89092" w:rsidR="002E02D6" w:rsidRPr="002464A0" w:rsidRDefault="002E02D6" w:rsidP="002E02D6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26E8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0D436994" w14:textId="1EB97C0D" w:rsidR="002E02D6" w:rsidRDefault="002E02D6" w:rsidP="002E02D6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79" w:type="pct"/>
            <w:shd w:val="clear" w:color="auto" w:fill="auto"/>
          </w:tcPr>
          <w:p w14:paraId="045CF02B" w14:textId="35C616B2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entre un 75% y 100%.</w:t>
            </w:r>
          </w:p>
          <w:p w14:paraId="7C7647E8" w14:textId="0B618435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entre un 75% y 50%.</w:t>
            </w:r>
          </w:p>
          <w:p w14:paraId="6E361CB8" w14:textId="389B7A81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>Realiza documentos con un lenguaje de marcas que permitan la interacción con el usuari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15CF05E6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2220925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EC599F3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2E02D6" w:rsidRDefault="002E02D6" w:rsidP="002E02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2E02D6" w:rsidRDefault="002E02D6" w:rsidP="002E02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1F88E9F3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83D7CE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6FAF371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4C328EBA" w14:textId="77777777" w:rsidTr="002E02D6">
        <w:trPr>
          <w:trHeight w:val="448"/>
        </w:trPr>
        <w:tc>
          <w:tcPr>
            <w:tcW w:w="1352" w:type="pct"/>
            <w:vMerge/>
            <w:shd w:val="clear" w:color="auto" w:fill="auto"/>
            <w:vAlign w:val="center"/>
          </w:tcPr>
          <w:p w14:paraId="5D57934F" w14:textId="77777777" w:rsidR="002E02D6" w:rsidRPr="002464A0" w:rsidRDefault="002E02D6" w:rsidP="002E02D6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03BB1DE9" w14:textId="4CD8BC50" w:rsidR="002E02D6" w:rsidRDefault="002E02D6" w:rsidP="002E02D6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4.2 Aplica las marcas en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79" w:type="pct"/>
            <w:shd w:val="clear" w:color="auto" w:fill="auto"/>
          </w:tcPr>
          <w:p w14:paraId="36460AE5" w14:textId="7BF06C01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 las marcas en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381CD02E" w14:textId="0D03A33C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 las marcas en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50%.</w:t>
            </w:r>
          </w:p>
          <w:p w14:paraId="3C772FD0" w14:textId="3D757EA6" w:rsidR="002E02D6" w:rsidRDefault="002E02D6" w:rsidP="002E02D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Aplica las marcas en</w:t>
            </w:r>
            <w:r w:rsidRPr="00732D8B">
              <w:rPr>
                <w:rFonts w:asciiTheme="minorHAnsi" w:hAnsiTheme="minorHAnsi" w:cstheme="minorHAnsi"/>
                <w:sz w:val="20"/>
                <w:szCs w:val="20"/>
              </w:rPr>
              <w:t xml:space="preserve"> documentos con un lenguaje de marcas que permitan la interacción con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055CF90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B93FBB" w14:textId="77777777" w:rsidR="002E02D6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2E02D6" w:rsidRDefault="002E02D6" w:rsidP="002E02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2E02D6" w:rsidRDefault="002E02D6" w:rsidP="002E02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2E02D6" w:rsidRPr="00DB5309" w:rsidRDefault="002E02D6" w:rsidP="002E02D6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2BC3B9FC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0EC2C3A1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0D7AB1D" w14:textId="77777777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2E02D6" w:rsidRPr="00DB5309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2E02D6" w:rsidRDefault="002E02D6" w:rsidP="002E02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2E02D6" w:rsidRDefault="002E02D6" w:rsidP="002E02D6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2E02D6">
        <w:trPr>
          <w:trHeight w:val="401"/>
        </w:trPr>
        <w:tc>
          <w:tcPr>
            <w:tcW w:w="1352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303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0B27" w14:textId="77777777" w:rsidR="008B7D69" w:rsidRDefault="008B7D69" w:rsidP="00B2297E">
      <w:pPr>
        <w:spacing w:after="0" w:line="240" w:lineRule="auto"/>
      </w:pPr>
      <w:r>
        <w:separator/>
      </w:r>
    </w:p>
  </w:endnote>
  <w:endnote w:type="continuationSeparator" w:id="0">
    <w:p w14:paraId="5332E175" w14:textId="77777777" w:rsidR="008B7D69" w:rsidRDefault="008B7D6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455B" w14:textId="77777777" w:rsidR="008B7D69" w:rsidRDefault="008B7D69" w:rsidP="00B2297E">
      <w:pPr>
        <w:spacing w:after="0" w:line="240" w:lineRule="auto"/>
      </w:pPr>
      <w:r>
        <w:separator/>
      </w:r>
    </w:p>
  </w:footnote>
  <w:footnote w:type="continuationSeparator" w:id="0">
    <w:p w14:paraId="5010CF16" w14:textId="77777777" w:rsidR="008B7D69" w:rsidRDefault="008B7D6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2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0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37"/>
  </w:num>
  <w:num w:numId="5">
    <w:abstractNumId w:val="25"/>
  </w:num>
  <w:num w:numId="6">
    <w:abstractNumId w:val="38"/>
  </w:num>
  <w:num w:numId="7">
    <w:abstractNumId w:val="10"/>
  </w:num>
  <w:num w:numId="8">
    <w:abstractNumId w:val="8"/>
  </w:num>
  <w:num w:numId="9">
    <w:abstractNumId w:val="39"/>
  </w:num>
  <w:num w:numId="10">
    <w:abstractNumId w:val="19"/>
  </w:num>
  <w:num w:numId="11">
    <w:abstractNumId w:val="36"/>
  </w:num>
  <w:num w:numId="12">
    <w:abstractNumId w:val="43"/>
  </w:num>
  <w:num w:numId="13">
    <w:abstractNumId w:val="0"/>
  </w:num>
  <w:num w:numId="14">
    <w:abstractNumId w:val="7"/>
  </w:num>
  <w:num w:numId="15">
    <w:abstractNumId w:val="16"/>
  </w:num>
  <w:num w:numId="16">
    <w:abstractNumId w:val="30"/>
  </w:num>
  <w:num w:numId="17">
    <w:abstractNumId w:val="9"/>
  </w:num>
  <w:num w:numId="18">
    <w:abstractNumId w:val="27"/>
  </w:num>
  <w:num w:numId="19">
    <w:abstractNumId w:val="18"/>
  </w:num>
  <w:num w:numId="20">
    <w:abstractNumId w:val="42"/>
  </w:num>
  <w:num w:numId="21">
    <w:abstractNumId w:val="14"/>
  </w:num>
  <w:num w:numId="22">
    <w:abstractNumId w:val="23"/>
  </w:num>
  <w:num w:numId="23">
    <w:abstractNumId w:val="15"/>
  </w:num>
  <w:num w:numId="24">
    <w:abstractNumId w:val="5"/>
  </w:num>
  <w:num w:numId="25">
    <w:abstractNumId w:val="28"/>
  </w:num>
  <w:num w:numId="26">
    <w:abstractNumId w:val="21"/>
  </w:num>
  <w:num w:numId="27">
    <w:abstractNumId w:val="29"/>
  </w:num>
  <w:num w:numId="28">
    <w:abstractNumId w:val="31"/>
  </w:num>
  <w:num w:numId="29">
    <w:abstractNumId w:val="11"/>
  </w:num>
  <w:num w:numId="30">
    <w:abstractNumId w:val="2"/>
  </w:num>
  <w:num w:numId="31">
    <w:abstractNumId w:val="32"/>
  </w:num>
  <w:num w:numId="32">
    <w:abstractNumId w:val="6"/>
  </w:num>
  <w:num w:numId="33">
    <w:abstractNumId w:val="4"/>
  </w:num>
  <w:num w:numId="34">
    <w:abstractNumId w:val="24"/>
  </w:num>
  <w:num w:numId="35">
    <w:abstractNumId w:val="33"/>
  </w:num>
  <w:num w:numId="36">
    <w:abstractNumId w:val="34"/>
  </w:num>
  <w:num w:numId="37">
    <w:abstractNumId w:val="35"/>
  </w:num>
  <w:num w:numId="38">
    <w:abstractNumId w:val="13"/>
  </w:num>
  <w:num w:numId="39">
    <w:abstractNumId w:val="41"/>
  </w:num>
  <w:num w:numId="40">
    <w:abstractNumId w:val="17"/>
  </w:num>
  <w:num w:numId="41">
    <w:abstractNumId w:val="20"/>
  </w:num>
  <w:num w:numId="42">
    <w:abstractNumId w:val="3"/>
  </w:num>
  <w:num w:numId="43">
    <w:abstractNumId w:val="2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B7D69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30935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D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erteventura2000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1760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8</cp:revision>
  <dcterms:created xsi:type="dcterms:W3CDTF">2023-07-04T23:29:00Z</dcterms:created>
  <dcterms:modified xsi:type="dcterms:W3CDTF">2023-07-05T14:25:00Z</dcterms:modified>
</cp:coreProperties>
</file>