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24ADBE0C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D82DC0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ipervnculo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ipervnculo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  <w:lang w:val="es-AR" w:eastAsia="es-A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07550120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4920016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6C78B501" w:rsidR="00A7182E" w:rsidRPr="00FC1421" w:rsidRDefault="00190368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6" w:tgtFrame="_blank" w:history="1">
        <w:proofErr w:type="spellStart"/>
        <w:r>
          <w:rPr>
            <w:rStyle w:val="Hipervnculo"/>
          </w:rPr>
          <w:t>Des</w:t>
        </w:r>
        <w:bookmarkStart w:id="0" w:name="_GoBack"/>
        <w:bookmarkEnd w:id="0"/>
        <w:r>
          <w:rPr>
            <w:rStyle w:val="Hipervnculo"/>
          </w:rPr>
          <w:t>c</w:t>
        </w:r>
        <w:r>
          <w:rPr>
            <w:rStyle w:val="Hipervnculo"/>
          </w:rPr>
          <w:t>ripcion</w:t>
        </w:r>
        <w:proofErr w:type="spellEnd"/>
        <w:r>
          <w:rPr>
            <w:rStyle w:val="Hipervnculo"/>
          </w:rPr>
          <w:t xml:space="preserve"> y </w:t>
        </w:r>
        <w:proofErr w:type="spellStart"/>
        <w:r>
          <w:rPr>
            <w:rStyle w:val="Hipervnculo"/>
          </w:rPr>
          <w:t>limpieza</w:t>
        </w:r>
        <w:proofErr w:type="spellEnd"/>
        <w:r>
          <w:rPr>
            <w:rStyle w:val="Hipervnculo"/>
          </w:rPr>
          <w:t xml:space="preserve"> de dataset</w:t>
        </w:r>
      </w:hyperlink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90368"/>
    <w:rsid w:val="001E24DC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F5736"/>
    <w:rsid w:val="005404A1"/>
    <w:rsid w:val="00587316"/>
    <w:rsid w:val="006140F7"/>
    <w:rsid w:val="006163E4"/>
    <w:rsid w:val="00675FBA"/>
    <w:rsid w:val="007B40A8"/>
    <w:rsid w:val="007C5BB7"/>
    <w:rsid w:val="007D3D4F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82DC0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1834F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834F3"/>
  </w:style>
  <w:style w:type="character" w:styleId="Hipervnculo">
    <w:name w:val="Hyperlink"/>
    <w:basedOn w:val="Fuentedeprrafopredeter"/>
    <w:uiPriority w:val="99"/>
    <w:unhideWhenUsed/>
    <w:rsid w:val="00C439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90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RamosCDIA/Predicci-n-del-TEA-en-la-infancia" TargetMode="Externa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Ana Ramos</cp:lastModifiedBy>
  <cp:revision>10</cp:revision>
  <dcterms:created xsi:type="dcterms:W3CDTF">2017-12-24T06:36:00Z</dcterms:created>
  <dcterms:modified xsi:type="dcterms:W3CDTF">2025-06-02T03:23:00Z</dcterms:modified>
</cp:coreProperties>
</file>