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31C5E3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3723CF5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DC309A"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  <w:p w14:paraId="2E6E032F" w14:textId="2628CC73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DC309A">
              <w:rPr>
                <w:rFonts w:ascii="Calibri" w:eastAsia="Calibri" w:hAnsi="Calibri" w:cs="Calibri"/>
                <w:sz w:val="28"/>
                <w:szCs w:val="28"/>
              </w:rPr>
              <w:t>25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2613DD3C" w:rsidR="2365EC43" w:rsidRDefault="2365EC43" w:rsidP="002C135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094438">
              <w:rPr>
                <w:rFonts w:ascii="Calibri" w:eastAsia="Calibri" w:hAnsi="Calibri" w:cs="Calibri"/>
                <w:sz w:val="28"/>
                <w:szCs w:val="28"/>
              </w:rPr>
              <w:t>Wprowadzenie do analizy czasowych szeregów danych. Projektowanie eksperymentów i testowanie hipotez w praktyce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1718E6C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4513" w:type="dxa"/>
          </w:tcPr>
          <w:p w14:paraId="185C2B3E" w14:textId="707F7B7B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18317E00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1b</w:t>
            </w:r>
          </w:p>
        </w:tc>
      </w:tr>
    </w:tbl>
    <w:p w14:paraId="267C1DBE" w14:textId="00A10127" w:rsidR="2365EC43" w:rsidRPr="000509CD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2EA80418" w14:textId="2CF99D4E" w:rsidR="00BA2F7C" w:rsidRDefault="00DC309A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 w:rsidRPr="00DC309A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F1496B1" wp14:editId="4B70527C">
            <wp:extent cx="5234940" cy="1449961"/>
            <wp:effectExtent l="0" t="0" r="3810" b="0"/>
            <wp:docPr id="6193258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25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645" cy="14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584C" w14:textId="1A91B2DE" w:rsidR="002336A6" w:rsidRPr="000509CD" w:rsidRDefault="002336A6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90718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6" w:history="1">
        <w:r w:rsidR="0090718D" w:rsidRPr="0090718D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https://github.com/AnaShiro/NoD1_2024</w:t>
        </w:r>
      </w:hyperlink>
    </w:p>
    <w:p w14:paraId="13228A60" w14:textId="77777777" w:rsidR="000509CD" w:rsidRPr="002336A6" w:rsidRDefault="000509CD">
      <w:pPr>
        <w:rPr>
          <w:rFonts w:ascii="Calibri" w:eastAsia="Calibri" w:hAnsi="Calibri" w:cs="Calibri"/>
          <w:sz w:val="28"/>
          <w:szCs w:val="28"/>
          <w:lang w:val="en-US"/>
        </w:rPr>
      </w:pPr>
      <w:r w:rsidRPr="002336A6">
        <w:rPr>
          <w:rFonts w:ascii="Calibri" w:eastAsia="Calibri" w:hAnsi="Calibri" w:cs="Calibri"/>
          <w:sz w:val="28"/>
          <w:szCs w:val="28"/>
          <w:lang w:val="en-US"/>
        </w:rPr>
        <w:br w:type="page"/>
      </w:r>
    </w:p>
    <w:p w14:paraId="080B95AA" w14:textId="7B1EA273" w:rsidR="002C1355" w:rsidRDefault="2365EC43" w:rsidP="00D230BF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2FDADC0C" w14:textId="77777777" w:rsidR="00D230BF" w:rsidRDefault="00D230B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</w:p>
    <w:p w14:paraId="70F9CC69" w14:textId="0278B8B9" w:rsidR="00114FDF" w:rsidRPr="00114FDF" w:rsidRDefault="00DC309A" w:rsidP="00114FDF">
      <w:pPr>
        <w:pStyle w:val="Akapitzlist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DC309A">
        <w:rPr>
          <w:rFonts w:ascii="Calibri" w:eastAsia="Calibri" w:hAnsi="Calibri" w:cs="Calibri"/>
          <w:sz w:val="24"/>
          <w:szCs w:val="24"/>
        </w:rPr>
        <w:t xml:space="preserve">Pobierz dane z </w:t>
      </w:r>
      <w:proofErr w:type="spellStart"/>
      <w:r w:rsidRPr="00DC309A">
        <w:rPr>
          <w:rFonts w:ascii="Calibri" w:eastAsia="Calibri" w:hAnsi="Calibri" w:cs="Calibri"/>
          <w:sz w:val="24"/>
          <w:szCs w:val="24"/>
        </w:rPr>
        <w:t>Daily</w:t>
      </w:r>
      <w:proofErr w:type="spellEnd"/>
      <w:r w:rsidRPr="00DC309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309A">
        <w:rPr>
          <w:rFonts w:ascii="Calibri" w:eastAsia="Calibri" w:hAnsi="Calibri" w:cs="Calibri"/>
          <w:sz w:val="24"/>
          <w:szCs w:val="24"/>
        </w:rPr>
        <w:t>Temperature</w:t>
      </w:r>
      <w:proofErr w:type="spellEnd"/>
      <w:r w:rsidRPr="00DC309A">
        <w:rPr>
          <w:rFonts w:ascii="Calibri" w:eastAsia="Calibri" w:hAnsi="Calibri" w:cs="Calibri"/>
          <w:sz w:val="24"/>
          <w:szCs w:val="24"/>
        </w:rPr>
        <w:t xml:space="preserve"> of Major </w:t>
      </w:r>
      <w:proofErr w:type="spellStart"/>
      <w:r w:rsidRPr="00DC309A">
        <w:rPr>
          <w:rFonts w:ascii="Calibri" w:eastAsia="Calibri" w:hAnsi="Calibri" w:cs="Calibri"/>
          <w:sz w:val="24"/>
          <w:szCs w:val="24"/>
        </w:rPr>
        <w:t>Cities</w:t>
      </w:r>
      <w:proofErr w:type="spellEnd"/>
      <w:r w:rsidRPr="00DC309A">
        <w:rPr>
          <w:rFonts w:ascii="Calibri" w:eastAsia="Calibri" w:hAnsi="Calibri" w:cs="Calibri"/>
          <w:sz w:val="24"/>
          <w:szCs w:val="24"/>
        </w:rPr>
        <w:t xml:space="preserve">. </w:t>
      </w:r>
    </w:p>
    <w:p w14:paraId="5B606DD6" w14:textId="3281AD5F" w:rsidR="00DC309A" w:rsidRDefault="00DC309A" w:rsidP="00DC309A">
      <w:pPr>
        <w:pStyle w:val="Akapitzlist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DC309A">
        <w:rPr>
          <w:rFonts w:ascii="Calibri" w:eastAsia="Calibri" w:hAnsi="Calibri" w:cs="Calibri"/>
          <w:sz w:val="24"/>
          <w:szCs w:val="24"/>
        </w:rPr>
        <w:t xml:space="preserve">Oblicz </w:t>
      </w:r>
      <w:r>
        <w:rPr>
          <w:rFonts w:ascii="Calibri" w:eastAsia="Calibri" w:hAnsi="Calibri" w:cs="Calibri"/>
          <w:sz w:val="24"/>
          <w:szCs w:val="24"/>
        </w:rPr>
        <w:t>ś</w:t>
      </w:r>
      <w:r w:rsidRPr="00DC309A">
        <w:rPr>
          <w:rFonts w:ascii="Calibri" w:eastAsia="Calibri" w:hAnsi="Calibri" w:cs="Calibri"/>
          <w:sz w:val="24"/>
          <w:szCs w:val="24"/>
        </w:rPr>
        <w:t xml:space="preserve">rednie ruchome dla okien 7 i 30 dni. </w:t>
      </w:r>
    </w:p>
    <w:p w14:paraId="5319CCC1" w14:textId="55EE0B8F" w:rsidR="00114FDF" w:rsidRDefault="00114FDF" w:rsidP="00114FD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CE75D80" wp14:editId="7E50721F">
            <wp:extent cx="4565650" cy="2511462"/>
            <wp:effectExtent l="0" t="0" r="6350" b="3175"/>
            <wp:docPr id="211401392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06" cy="252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88EC" w14:textId="0915BE64" w:rsidR="00114FDF" w:rsidRPr="00114FDF" w:rsidRDefault="00114FDF" w:rsidP="00114FD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0F6F34A" wp14:editId="7C6007B6">
            <wp:extent cx="4551941" cy="2849880"/>
            <wp:effectExtent l="0" t="0" r="1270" b="7620"/>
            <wp:docPr id="160803493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29" cy="285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87B2" w14:textId="53D9B81C" w:rsidR="00DC309A" w:rsidRDefault="00DC309A" w:rsidP="00DC309A">
      <w:pPr>
        <w:pStyle w:val="Akapitzlist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DC309A">
        <w:rPr>
          <w:rFonts w:ascii="Calibri" w:eastAsia="Calibri" w:hAnsi="Calibri" w:cs="Calibri"/>
          <w:sz w:val="24"/>
          <w:szCs w:val="24"/>
        </w:rPr>
        <w:t>Przeprowad</w:t>
      </w:r>
      <w:r>
        <w:rPr>
          <w:rFonts w:ascii="Calibri" w:eastAsia="Calibri" w:hAnsi="Calibri" w:cs="Calibri"/>
          <w:sz w:val="24"/>
          <w:szCs w:val="24"/>
        </w:rPr>
        <w:t>ź</w:t>
      </w:r>
      <w:r w:rsidRPr="00DC309A">
        <w:rPr>
          <w:rFonts w:ascii="Calibri" w:eastAsia="Calibri" w:hAnsi="Calibri" w:cs="Calibri"/>
          <w:sz w:val="24"/>
          <w:szCs w:val="24"/>
        </w:rPr>
        <w:t xml:space="preserve"> analiz</w:t>
      </w:r>
      <w:r>
        <w:rPr>
          <w:rFonts w:ascii="Calibri" w:eastAsia="Calibri" w:hAnsi="Calibri" w:cs="Calibri"/>
          <w:sz w:val="24"/>
          <w:szCs w:val="24"/>
        </w:rPr>
        <w:t>ę</w:t>
      </w:r>
      <w:r w:rsidRPr="00DC309A">
        <w:rPr>
          <w:rFonts w:ascii="Calibri" w:eastAsia="Calibri" w:hAnsi="Calibri" w:cs="Calibri"/>
          <w:sz w:val="24"/>
          <w:szCs w:val="24"/>
        </w:rPr>
        <w:t xml:space="preserve"> ACF i PACF. </w:t>
      </w:r>
    </w:p>
    <w:p w14:paraId="01B78F92" w14:textId="5D60ECED" w:rsidR="00114FDF" w:rsidRDefault="00114FDF" w:rsidP="00114FD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B27A1BF" wp14:editId="2CB6D45F">
            <wp:extent cx="4565650" cy="931239"/>
            <wp:effectExtent l="0" t="0" r="6350" b="2540"/>
            <wp:docPr id="53648143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42" cy="93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800E" w14:textId="6520B613" w:rsidR="00114FDF" w:rsidRDefault="00114FDF" w:rsidP="00114FD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E99F11" wp14:editId="36CF1ECF">
            <wp:extent cx="4373880" cy="3220564"/>
            <wp:effectExtent l="0" t="0" r="7620" b="0"/>
            <wp:docPr id="114803153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671" cy="322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0260" w14:textId="15B16A16" w:rsidR="00114FDF" w:rsidRDefault="00114FDF" w:rsidP="00114FD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BAEAE6B" wp14:editId="0509A368">
            <wp:extent cx="4427567" cy="3467100"/>
            <wp:effectExtent l="0" t="0" r="0" b="0"/>
            <wp:docPr id="82338708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96" cy="34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7D34" w14:textId="77777777" w:rsidR="00114FDF" w:rsidRDefault="00114FD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7F5519A6" w14:textId="5DCE8E6B" w:rsidR="00B12249" w:rsidRDefault="00DC309A" w:rsidP="00DC309A">
      <w:pPr>
        <w:pStyle w:val="Akapitzlist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DC309A">
        <w:rPr>
          <w:rFonts w:ascii="Calibri" w:eastAsia="Calibri" w:hAnsi="Calibri" w:cs="Calibri"/>
          <w:sz w:val="24"/>
          <w:szCs w:val="24"/>
        </w:rPr>
        <w:lastRenderedPageBreak/>
        <w:t>Zdekomponuj dane na sk</w:t>
      </w:r>
      <w:r>
        <w:rPr>
          <w:rFonts w:ascii="Calibri" w:eastAsia="Calibri" w:hAnsi="Calibri" w:cs="Calibri"/>
          <w:sz w:val="24"/>
          <w:szCs w:val="24"/>
        </w:rPr>
        <w:t>ł</w:t>
      </w:r>
      <w:r w:rsidRPr="00DC309A">
        <w:rPr>
          <w:rFonts w:ascii="Calibri" w:eastAsia="Calibri" w:hAnsi="Calibri" w:cs="Calibri"/>
          <w:sz w:val="24"/>
          <w:szCs w:val="24"/>
        </w:rPr>
        <w:t>adniki trendu, sezonowo</w:t>
      </w:r>
      <w:r>
        <w:rPr>
          <w:rFonts w:ascii="Calibri" w:eastAsia="Calibri" w:hAnsi="Calibri" w:cs="Calibri"/>
          <w:sz w:val="24"/>
          <w:szCs w:val="24"/>
        </w:rPr>
        <w:t>ś</w:t>
      </w:r>
      <w:r w:rsidRPr="00DC309A">
        <w:rPr>
          <w:rFonts w:ascii="Calibri" w:eastAsia="Calibri" w:hAnsi="Calibri" w:cs="Calibri"/>
          <w:sz w:val="24"/>
          <w:szCs w:val="24"/>
        </w:rPr>
        <w:t>ci i reszt.</w:t>
      </w:r>
    </w:p>
    <w:p w14:paraId="3D268336" w14:textId="6F344EB8" w:rsidR="00114FDF" w:rsidRDefault="00114FDF" w:rsidP="00114FD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34C6C02" wp14:editId="2F0D3F01">
            <wp:extent cx="4450080" cy="4175956"/>
            <wp:effectExtent l="0" t="0" r="7620" b="0"/>
            <wp:docPr id="78646683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47" cy="41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18AB" w14:textId="77777777" w:rsidR="000628E5" w:rsidRPr="00D230BF" w:rsidRDefault="000628E5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45BE15D8" w14:textId="2CA3B306" w:rsidR="000628E5" w:rsidRDefault="2365EC43" w:rsidP="00022CA4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Wnioski</w:t>
      </w:r>
    </w:p>
    <w:p w14:paraId="0A7E0FB6" w14:textId="73A98E7C" w:rsidR="00022CA4" w:rsidRPr="00DC309A" w:rsidRDefault="00DC309A" w:rsidP="00DC309A">
      <w:pPr>
        <w:ind w:left="708"/>
        <w:jc w:val="both"/>
        <w:rPr>
          <w:rFonts w:ascii="Calibri" w:eastAsia="Calibri" w:hAnsi="Calibri" w:cs="Calibri"/>
          <w:sz w:val="24"/>
          <w:szCs w:val="24"/>
        </w:rPr>
      </w:pPr>
      <w:r w:rsidRPr="00DC309A">
        <w:rPr>
          <w:rFonts w:ascii="Calibri" w:eastAsia="Calibri" w:hAnsi="Calibri" w:cs="Calibri"/>
          <w:sz w:val="24"/>
          <w:szCs w:val="24"/>
        </w:rPr>
        <w:t xml:space="preserve">Analiza szeregów czasowych pozwala na dekompozycję danych na składniki takie jak trend, sezonowość i reszty, co umożliwia lepsze zrozumienie ich struktury oraz identyfikację wzorców. Wykorzystanie funkcji autokorelacji (ACF) jest kluczowe do wykrywania sezonowości i trendów, podczas gdy funkcja PACF pomaga określić istotne opóźnienia przydatne w modelach autoregresyjnych. Średnie ruchome są niezastąpionym narzędziem do wygładzania danych, eliminacji szumów oraz identyfikacji trendów i krótkoterminowego prognozowania. Projektowanie eksperymentów i testowanie hipotez statystycznych, w tym poprawne formułowanie hipotez zerowej i alternatywnej oraz wybór odpowiednich testów, takich jak test t-Studenta czy chi-kwadrat, pozwala na uzyskanie wiarygodnych wniosków z danych. Narzędzia takie jak </w:t>
      </w:r>
      <w:proofErr w:type="spellStart"/>
      <w:r w:rsidRPr="00DC309A">
        <w:rPr>
          <w:rFonts w:ascii="Calibri" w:eastAsia="Calibri" w:hAnsi="Calibri" w:cs="Calibri"/>
          <w:sz w:val="24"/>
          <w:szCs w:val="24"/>
        </w:rPr>
        <w:t>Python</w:t>
      </w:r>
      <w:proofErr w:type="spellEnd"/>
      <w:r w:rsidRPr="00DC309A">
        <w:rPr>
          <w:rFonts w:ascii="Calibri" w:eastAsia="Calibri" w:hAnsi="Calibri" w:cs="Calibri"/>
          <w:sz w:val="24"/>
          <w:szCs w:val="24"/>
        </w:rPr>
        <w:t xml:space="preserve">, z bibliotekami takimi jak </w:t>
      </w:r>
      <w:proofErr w:type="spellStart"/>
      <w:r w:rsidRPr="00DC309A">
        <w:rPr>
          <w:rFonts w:ascii="Calibri" w:eastAsia="Calibri" w:hAnsi="Calibri" w:cs="Calibri"/>
          <w:sz w:val="24"/>
          <w:szCs w:val="24"/>
        </w:rPr>
        <w:t>statsmodels</w:t>
      </w:r>
      <w:proofErr w:type="spellEnd"/>
      <w:r w:rsidRPr="00DC309A">
        <w:rPr>
          <w:rFonts w:ascii="Calibri" w:eastAsia="Calibri" w:hAnsi="Calibri" w:cs="Calibri"/>
          <w:sz w:val="24"/>
          <w:szCs w:val="24"/>
        </w:rPr>
        <w:t xml:space="preserve"> i </w:t>
      </w:r>
      <w:proofErr w:type="spellStart"/>
      <w:r w:rsidRPr="00DC309A">
        <w:rPr>
          <w:rFonts w:ascii="Calibri" w:eastAsia="Calibri" w:hAnsi="Calibri" w:cs="Calibri"/>
          <w:sz w:val="24"/>
          <w:szCs w:val="24"/>
        </w:rPr>
        <w:t>pandas</w:t>
      </w:r>
      <w:proofErr w:type="spellEnd"/>
      <w:r w:rsidRPr="00DC309A">
        <w:rPr>
          <w:rFonts w:ascii="Calibri" w:eastAsia="Calibri" w:hAnsi="Calibri" w:cs="Calibri"/>
          <w:sz w:val="24"/>
          <w:szCs w:val="24"/>
        </w:rPr>
        <w:t>, oraz środowisko KNIME, wspierają efektywną analizę i wizualizację danych. Te techniki znajdują szerokie zastosowanie w praktyce, między innymi w analizie sprzedaży, danych meteorologicznych, finansowych czy w wykrywaniu anomalii. Kluczowe jest także świadome dobranie parametrów analizy, takich jak długość okna w średnich ruchomych czy zakres opóźnień w ACF i PACF, co znacząco wpływa na jakość prognoz i wyciąganych wniosków.</w:t>
      </w:r>
    </w:p>
    <w:sectPr w:rsidR="00022CA4" w:rsidRPr="00DC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5"/>
  </w:num>
  <w:num w:numId="4" w16cid:durableId="574121888">
    <w:abstractNumId w:val="4"/>
  </w:num>
  <w:num w:numId="5" w16cid:durableId="1015696702">
    <w:abstractNumId w:val="6"/>
  </w:num>
  <w:num w:numId="6" w16cid:durableId="678697575">
    <w:abstractNumId w:val="0"/>
  </w:num>
  <w:num w:numId="7" w16cid:durableId="1874882306">
    <w:abstractNumId w:val="8"/>
  </w:num>
  <w:num w:numId="8" w16cid:durableId="1933196903">
    <w:abstractNumId w:val="2"/>
  </w:num>
  <w:num w:numId="9" w16cid:durableId="352267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509CD"/>
    <w:rsid w:val="000628E5"/>
    <w:rsid w:val="00094438"/>
    <w:rsid w:val="00104C06"/>
    <w:rsid w:val="0011075F"/>
    <w:rsid w:val="00114FDF"/>
    <w:rsid w:val="002336A6"/>
    <w:rsid w:val="002C1355"/>
    <w:rsid w:val="002D00A1"/>
    <w:rsid w:val="003A260F"/>
    <w:rsid w:val="00467974"/>
    <w:rsid w:val="00542118"/>
    <w:rsid w:val="0064111A"/>
    <w:rsid w:val="006D5680"/>
    <w:rsid w:val="00793272"/>
    <w:rsid w:val="007D6F6A"/>
    <w:rsid w:val="008E341E"/>
    <w:rsid w:val="0090058F"/>
    <w:rsid w:val="0090718D"/>
    <w:rsid w:val="009A2C9B"/>
    <w:rsid w:val="00AD7694"/>
    <w:rsid w:val="00B12249"/>
    <w:rsid w:val="00BA2F7C"/>
    <w:rsid w:val="00C16714"/>
    <w:rsid w:val="00CC25DC"/>
    <w:rsid w:val="00D230BF"/>
    <w:rsid w:val="00D25402"/>
    <w:rsid w:val="00DC309A"/>
    <w:rsid w:val="00DC7508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Shiro/NoD1_2024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281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19</cp:revision>
  <dcterms:created xsi:type="dcterms:W3CDTF">2024-09-28T13:29:00Z</dcterms:created>
  <dcterms:modified xsi:type="dcterms:W3CDTF">2025-02-08T09:09:00Z</dcterms:modified>
</cp:coreProperties>
</file>