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71A8F9" w14:textId="77777777" w:rsidR="00630757" w:rsidRDefault="00630757" w:rsidP="00630757">
      <w:pPr>
        <w:spacing w:after="0" w:line="240" w:lineRule="auto"/>
        <w:rPr>
          <w:rFonts w:ascii="Times New Roman" w:hAnsi="Times New Roman" w:cs="Times New Roman"/>
        </w:rPr>
      </w:pPr>
      <w:r w:rsidRPr="002F5419">
        <w:rPr>
          <w:rFonts w:ascii="Times New Roman" w:hAnsi="Times New Roman" w:cs="Times New Roman"/>
        </w:rPr>
        <w:t>Kyle Krug</w:t>
      </w:r>
    </w:p>
    <w:p w14:paraId="586C3478" w14:textId="77777777" w:rsidR="00630757" w:rsidRDefault="00630757" w:rsidP="00630757">
      <w:pPr>
        <w:spacing w:after="0" w:line="240" w:lineRule="auto"/>
        <w:rPr>
          <w:rFonts w:ascii="Times New Roman" w:hAnsi="Times New Roman" w:cs="Times New Roman"/>
        </w:rPr>
      </w:pPr>
      <w:r>
        <w:rPr>
          <w:rFonts w:ascii="Times New Roman" w:hAnsi="Times New Roman" w:cs="Times New Roman"/>
        </w:rPr>
        <w:t>Northwestern University</w:t>
      </w:r>
    </w:p>
    <w:p w14:paraId="4A25BB88" w14:textId="77777777" w:rsidR="00630757" w:rsidRDefault="00630757" w:rsidP="00630757">
      <w:pPr>
        <w:spacing w:after="0" w:line="240" w:lineRule="auto"/>
        <w:rPr>
          <w:rFonts w:ascii="Times New Roman" w:hAnsi="Times New Roman" w:cs="Times New Roman"/>
        </w:rPr>
      </w:pPr>
      <w:r>
        <w:rPr>
          <w:rFonts w:ascii="Times New Roman" w:hAnsi="Times New Roman" w:cs="Times New Roman"/>
        </w:rPr>
        <w:t>MSDS 451</w:t>
      </w:r>
    </w:p>
    <w:p w14:paraId="24982560" w14:textId="1B9CB930" w:rsidR="00630757" w:rsidRDefault="00630757" w:rsidP="00630757">
      <w:pPr>
        <w:spacing w:after="0" w:line="240" w:lineRule="auto"/>
        <w:rPr>
          <w:rFonts w:ascii="Times New Roman" w:hAnsi="Times New Roman" w:cs="Times New Roman"/>
        </w:rPr>
      </w:pPr>
      <w:r>
        <w:rPr>
          <w:rFonts w:ascii="Times New Roman" w:hAnsi="Times New Roman" w:cs="Times New Roman"/>
        </w:rPr>
        <w:t xml:space="preserve">Checkpoint Assignment </w:t>
      </w:r>
      <w:r w:rsidR="00BB5E1B">
        <w:rPr>
          <w:rFonts w:ascii="Times New Roman" w:hAnsi="Times New Roman" w:cs="Times New Roman"/>
        </w:rPr>
        <w:t>B</w:t>
      </w:r>
    </w:p>
    <w:p w14:paraId="7BDEACF6" w14:textId="77777777" w:rsidR="00630757" w:rsidRDefault="00630757" w:rsidP="00630757">
      <w:pPr>
        <w:rPr>
          <w:rFonts w:ascii="Times New Roman" w:hAnsi="Times New Roman" w:cs="Times New Roman"/>
        </w:rPr>
      </w:pPr>
    </w:p>
    <w:p w14:paraId="289E5873" w14:textId="3594B180" w:rsidR="00630757" w:rsidRPr="00DB40C9" w:rsidRDefault="00630757" w:rsidP="00630757">
      <w:pPr>
        <w:spacing w:line="480" w:lineRule="auto"/>
        <w:jc w:val="center"/>
        <w:rPr>
          <w:rFonts w:ascii="Times New Roman" w:hAnsi="Times New Roman" w:cs="Times New Roman"/>
          <w:b/>
          <w:bCs/>
          <w:sz w:val="32"/>
          <w:szCs w:val="32"/>
          <w:u w:val="single"/>
        </w:rPr>
      </w:pPr>
      <w:r w:rsidRPr="00DB40C9">
        <w:rPr>
          <w:rFonts w:ascii="Times New Roman" w:hAnsi="Times New Roman" w:cs="Times New Roman"/>
          <w:b/>
          <w:bCs/>
          <w:sz w:val="32"/>
          <w:szCs w:val="32"/>
          <w:u w:val="single"/>
        </w:rPr>
        <w:t xml:space="preserve"> Anabasis Transformative Technology Fund (ATTF)</w:t>
      </w:r>
      <w:r w:rsidR="00083927">
        <w:rPr>
          <w:rFonts w:ascii="Times New Roman" w:hAnsi="Times New Roman" w:cs="Times New Roman"/>
          <w:b/>
          <w:bCs/>
          <w:sz w:val="32"/>
          <w:szCs w:val="32"/>
          <w:u w:val="single"/>
        </w:rPr>
        <w:t xml:space="preserve"> Portfolio Optimization With Monte Carlo Simulation</w:t>
      </w:r>
      <w:r w:rsidR="00794142">
        <w:rPr>
          <w:rFonts w:ascii="Times New Roman" w:hAnsi="Times New Roman" w:cs="Times New Roman"/>
          <w:b/>
          <w:bCs/>
          <w:sz w:val="32"/>
          <w:szCs w:val="32"/>
          <w:u w:val="single"/>
        </w:rPr>
        <w:t xml:space="preserve">, Machine Learning, </w:t>
      </w:r>
      <w:r w:rsidR="009F2D81">
        <w:rPr>
          <w:rFonts w:ascii="Times New Roman" w:hAnsi="Times New Roman" w:cs="Times New Roman"/>
          <w:b/>
          <w:bCs/>
          <w:sz w:val="32"/>
          <w:szCs w:val="32"/>
          <w:u w:val="single"/>
        </w:rPr>
        <w:t>Momentum Strategies, and Regime Detection</w:t>
      </w:r>
    </w:p>
    <w:p w14:paraId="5DB3E9A6" w14:textId="77777777" w:rsidR="00630757" w:rsidRDefault="00630757" w:rsidP="00630757">
      <w:pPr>
        <w:spacing w:line="480" w:lineRule="auto"/>
        <w:rPr>
          <w:rFonts w:ascii="Times New Roman" w:hAnsi="Times New Roman" w:cs="Times New Roman"/>
          <w:b/>
          <w:bCs/>
          <w:sz w:val="32"/>
          <w:szCs w:val="32"/>
        </w:rPr>
      </w:pPr>
      <w:r>
        <w:rPr>
          <w:rFonts w:ascii="Times New Roman" w:hAnsi="Times New Roman" w:cs="Times New Roman"/>
          <w:b/>
          <w:bCs/>
          <w:sz w:val="32"/>
          <w:szCs w:val="32"/>
        </w:rPr>
        <w:t>Introduction</w:t>
      </w:r>
    </w:p>
    <w:p w14:paraId="52179248" w14:textId="46353855" w:rsidR="005022B8" w:rsidRDefault="00630757" w:rsidP="00DA3154">
      <w:pPr>
        <w:spacing w:line="480" w:lineRule="auto"/>
        <w:ind w:firstLine="720"/>
        <w:rPr>
          <w:rFonts w:ascii="Times New Roman" w:hAnsi="Times New Roman" w:cs="Times New Roman"/>
        </w:rPr>
      </w:pPr>
      <w:r>
        <w:rPr>
          <w:rFonts w:ascii="Times New Roman" w:hAnsi="Times New Roman" w:cs="Times New Roman"/>
        </w:rPr>
        <w:t xml:space="preserve">This paper </w:t>
      </w:r>
      <w:r w:rsidR="00C9311B">
        <w:rPr>
          <w:rFonts w:ascii="Times New Roman" w:hAnsi="Times New Roman" w:cs="Times New Roman"/>
        </w:rPr>
        <w:t xml:space="preserve">extends the quantitative framework </w:t>
      </w:r>
      <w:r w:rsidR="005E0B86">
        <w:rPr>
          <w:rFonts w:ascii="Times New Roman" w:hAnsi="Times New Roman" w:cs="Times New Roman"/>
        </w:rPr>
        <w:t>developed across the three prior assignments</w:t>
      </w:r>
      <w:r w:rsidR="00FB6F43">
        <w:rPr>
          <w:rFonts w:ascii="Times New Roman" w:hAnsi="Times New Roman" w:cs="Times New Roman"/>
        </w:rPr>
        <w:t xml:space="preserve"> for the ATTF</w:t>
      </w:r>
      <w:r w:rsidR="00C9311B">
        <w:rPr>
          <w:rFonts w:ascii="Times New Roman" w:hAnsi="Times New Roman" w:cs="Times New Roman"/>
        </w:rPr>
        <w:t xml:space="preserve">. </w:t>
      </w:r>
      <w:r w:rsidR="007B3084">
        <w:rPr>
          <w:rFonts w:ascii="Times New Roman" w:hAnsi="Times New Roman" w:cs="Times New Roman"/>
        </w:rPr>
        <w:t>In these previous assignments we established time-series data infrastructure</w:t>
      </w:r>
      <w:r w:rsidR="00E4263E">
        <w:rPr>
          <w:rFonts w:ascii="Times New Roman" w:hAnsi="Times New Roman" w:cs="Times New Roman"/>
        </w:rPr>
        <w:t xml:space="preserve">, </w:t>
      </w:r>
      <w:r w:rsidR="00C9311B">
        <w:rPr>
          <w:rFonts w:ascii="Times New Roman" w:hAnsi="Times New Roman" w:cs="Times New Roman"/>
        </w:rPr>
        <w:t>established the f</w:t>
      </w:r>
      <w:r w:rsidR="00AF5339">
        <w:rPr>
          <w:rFonts w:ascii="Times New Roman" w:hAnsi="Times New Roman" w:cs="Times New Roman"/>
        </w:rPr>
        <w:t>un</w:t>
      </w:r>
      <w:r w:rsidR="00C9311B">
        <w:rPr>
          <w:rFonts w:ascii="Times New Roman" w:hAnsi="Times New Roman" w:cs="Times New Roman"/>
        </w:rPr>
        <w:t>d’s thematic foundation</w:t>
      </w:r>
      <w:r w:rsidR="00E4263E">
        <w:rPr>
          <w:rFonts w:ascii="Times New Roman" w:hAnsi="Times New Roman" w:cs="Times New Roman"/>
        </w:rPr>
        <w:t xml:space="preserve"> in Checkpoint A</w:t>
      </w:r>
      <w:r w:rsidR="00AF5339">
        <w:rPr>
          <w:rFonts w:ascii="Times New Roman" w:hAnsi="Times New Roman" w:cs="Times New Roman"/>
        </w:rPr>
        <w:t xml:space="preserve">, </w:t>
      </w:r>
      <w:r w:rsidR="00E4263E">
        <w:rPr>
          <w:rFonts w:ascii="Times New Roman" w:hAnsi="Times New Roman" w:cs="Times New Roman"/>
        </w:rPr>
        <w:t>and conducted Monte Carlo simulation</w:t>
      </w:r>
      <w:r w:rsidR="00BB5D21">
        <w:rPr>
          <w:rFonts w:ascii="Times New Roman" w:hAnsi="Times New Roman" w:cs="Times New Roman"/>
        </w:rPr>
        <w:t xml:space="preserve"> against the Checkpoint A portfolio and strategy. </w:t>
      </w:r>
      <w:r w:rsidR="00C76DA8">
        <w:rPr>
          <w:rFonts w:ascii="Times New Roman" w:hAnsi="Times New Roman" w:cs="Times New Roman"/>
        </w:rPr>
        <w:t>In Checkpoint B</w:t>
      </w:r>
      <w:r w:rsidR="00E05A10">
        <w:rPr>
          <w:rFonts w:ascii="Times New Roman" w:hAnsi="Times New Roman" w:cs="Times New Roman"/>
        </w:rPr>
        <w:t xml:space="preserve"> I address</w:t>
      </w:r>
      <w:r w:rsidR="00AF5339">
        <w:rPr>
          <w:rFonts w:ascii="Times New Roman" w:hAnsi="Times New Roman" w:cs="Times New Roman"/>
        </w:rPr>
        <w:t xml:space="preserve"> the critical question of optimal performance </w:t>
      </w:r>
      <w:r w:rsidR="00FD5206">
        <w:rPr>
          <w:rFonts w:ascii="Times New Roman" w:hAnsi="Times New Roman" w:cs="Times New Roman"/>
        </w:rPr>
        <w:t>construction</w:t>
      </w:r>
      <w:r w:rsidR="008A726C">
        <w:rPr>
          <w:rFonts w:ascii="Times New Roman" w:hAnsi="Times New Roman" w:cs="Times New Roman"/>
        </w:rPr>
        <w:t xml:space="preserve"> and management</w:t>
      </w:r>
      <w:r w:rsidR="00FD5206">
        <w:rPr>
          <w:rFonts w:ascii="Times New Roman" w:hAnsi="Times New Roman" w:cs="Times New Roman"/>
        </w:rPr>
        <w:t xml:space="preserve">. </w:t>
      </w:r>
      <w:r w:rsidR="008B1DD1">
        <w:rPr>
          <w:rFonts w:ascii="Times New Roman" w:hAnsi="Times New Roman" w:cs="Times New Roman"/>
        </w:rPr>
        <w:t>The transition from security selection to portfolio allocation reflects a fundamental principle in quantitative finance that superior stock pi</w:t>
      </w:r>
      <w:r w:rsidR="00521CD4">
        <w:rPr>
          <w:rFonts w:ascii="Times New Roman" w:hAnsi="Times New Roman" w:cs="Times New Roman"/>
        </w:rPr>
        <w:t>cking alone does not guarantee superior performance.</w:t>
      </w:r>
    </w:p>
    <w:p w14:paraId="6FDD81D2" w14:textId="34FF08BE" w:rsidR="00D437AE" w:rsidRDefault="001168AE" w:rsidP="00DA3154">
      <w:pPr>
        <w:spacing w:line="480" w:lineRule="auto"/>
        <w:ind w:firstLine="720"/>
        <w:rPr>
          <w:rFonts w:ascii="Times New Roman" w:hAnsi="Times New Roman" w:cs="Times New Roman"/>
        </w:rPr>
      </w:pPr>
      <w:r>
        <w:rPr>
          <w:rFonts w:ascii="Times New Roman" w:hAnsi="Times New Roman" w:cs="Times New Roman"/>
        </w:rPr>
        <w:t xml:space="preserve">Checkpoint B implements four complementary quantitative strategies, each addressing a distinct hypothesis about sources of active management alpha. </w:t>
      </w:r>
      <w:r w:rsidR="004A470A">
        <w:rPr>
          <w:rFonts w:ascii="Times New Roman" w:hAnsi="Times New Roman" w:cs="Times New Roman"/>
        </w:rPr>
        <w:t xml:space="preserve">First, it implements Monte Carlo </w:t>
      </w:r>
      <w:r w:rsidR="00B10206">
        <w:rPr>
          <w:rFonts w:ascii="Times New Roman" w:hAnsi="Times New Roman" w:cs="Times New Roman"/>
        </w:rPr>
        <w:t>portfolio optimization and extends Programming Assignment 2 to include dividend</w:t>
      </w:r>
      <w:r w:rsidR="000279C9">
        <w:rPr>
          <w:rFonts w:ascii="Times New Roman" w:hAnsi="Times New Roman" w:cs="Times New Roman"/>
        </w:rPr>
        <w:t>-adjusted returns, explicit fee modeling</w:t>
      </w:r>
      <w:r w:rsidR="004635A9">
        <w:rPr>
          <w:rFonts w:ascii="Times New Roman" w:hAnsi="Times New Roman" w:cs="Times New Roman"/>
        </w:rPr>
        <w:t xml:space="preserve">, and a risk-free rate for Sharpe ratio calculations. Next, </w:t>
      </w:r>
      <w:r w:rsidR="006E6973">
        <w:rPr>
          <w:rFonts w:ascii="Times New Roman" w:hAnsi="Times New Roman" w:cs="Times New Roman"/>
        </w:rPr>
        <w:t>the paper utiliz</w:t>
      </w:r>
      <w:r w:rsidR="001C7203">
        <w:rPr>
          <w:rFonts w:ascii="Times New Roman" w:hAnsi="Times New Roman" w:cs="Times New Roman"/>
        </w:rPr>
        <w:t>es</w:t>
      </w:r>
      <w:r w:rsidR="006E6973">
        <w:rPr>
          <w:rFonts w:ascii="Times New Roman" w:hAnsi="Times New Roman" w:cs="Times New Roman"/>
        </w:rPr>
        <w:t xml:space="preserve"> machine learning</w:t>
      </w:r>
      <w:r w:rsidR="00882173">
        <w:rPr>
          <w:rFonts w:ascii="Times New Roman" w:hAnsi="Times New Roman" w:cs="Times New Roman"/>
        </w:rPr>
        <w:t xml:space="preserve"> (ML)</w:t>
      </w:r>
      <w:r w:rsidR="006E6973">
        <w:rPr>
          <w:rFonts w:ascii="Times New Roman" w:hAnsi="Times New Roman" w:cs="Times New Roman"/>
        </w:rPr>
        <w:t xml:space="preserve"> walk-forward methods </w:t>
      </w:r>
      <w:r w:rsidR="00854F3D">
        <w:rPr>
          <w:rFonts w:ascii="Times New Roman" w:hAnsi="Times New Roman" w:cs="Times New Roman"/>
        </w:rPr>
        <w:t xml:space="preserve">using </w:t>
      </w:r>
      <w:r w:rsidR="005855DB">
        <w:rPr>
          <w:rFonts w:ascii="Times New Roman" w:hAnsi="Times New Roman" w:cs="Times New Roman"/>
        </w:rPr>
        <w:t xml:space="preserve">Ridge </w:t>
      </w:r>
      <w:r w:rsidR="00052210">
        <w:rPr>
          <w:rFonts w:ascii="Times New Roman" w:hAnsi="Times New Roman" w:cs="Times New Roman"/>
        </w:rPr>
        <w:t>regression models</w:t>
      </w:r>
      <w:r w:rsidR="00854F3D">
        <w:rPr>
          <w:rFonts w:ascii="Times New Roman" w:hAnsi="Times New Roman" w:cs="Times New Roman"/>
        </w:rPr>
        <w:t xml:space="preserve"> trained on 71 monthly periods with </w:t>
      </w:r>
      <w:r w:rsidR="005F43D3">
        <w:rPr>
          <w:rFonts w:ascii="Times New Roman" w:hAnsi="Times New Roman" w:cs="Times New Roman"/>
        </w:rPr>
        <w:t>rolling 3-year</w:t>
      </w:r>
      <w:r w:rsidR="00854F3D">
        <w:rPr>
          <w:rFonts w:ascii="Times New Roman" w:hAnsi="Times New Roman" w:cs="Times New Roman"/>
        </w:rPr>
        <w:t xml:space="preserve"> windows</w:t>
      </w:r>
      <w:r w:rsidR="003C4BDE">
        <w:rPr>
          <w:rFonts w:ascii="Times New Roman" w:hAnsi="Times New Roman" w:cs="Times New Roman"/>
        </w:rPr>
        <w:t xml:space="preserve"> addressing look-ahead bias through rigorous out-of-sample validation. Third, </w:t>
      </w:r>
      <w:r w:rsidR="001C7203">
        <w:rPr>
          <w:rFonts w:ascii="Times New Roman" w:hAnsi="Times New Roman" w:cs="Times New Roman"/>
        </w:rPr>
        <w:t xml:space="preserve">I implemented a Clenow momentum strategy per the professor’s </w:t>
      </w:r>
      <w:r w:rsidR="001C7203">
        <w:rPr>
          <w:rFonts w:ascii="Times New Roman" w:hAnsi="Times New Roman" w:cs="Times New Roman"/>
        </w:rPr>
        <w:lastRenderedPageBreak/>
        <w:t xml:space="preserve">discussion recommendation for </w:t>
      </w:r>
      <w:r w:rsidR="000A45C8">
        <w:rPr>
          <w:rFonts w:ascii="Times New Roman" w:hAnsi="Times New Roman" w:cs="Times New Roman"/>
        </w:rPr>
        <w:t xml:space="preserve">systematic trend-following. </w:t>
      </w:r>
      <w:r w:rsidR="001871C3">
        <w:rPr>
          <w:rFonts w:ascii="Times New Roman" w:hAnsi="Times New Roman" w:cs="Times New Roman"/>
        </w:rPr>
        <w:t>Finally, I incorporated a Hidden Markov Model (HMM)</w:t>
      </w:r>
      <w:r w:rsidR="00E61872">
        <w:rPr>
          <w:rFonts w:ascii="Times New Roman" w:hAnsi="Times New Roman" w:cs="Times New Roman"/>
        </w:rPr>
        <w:t xml:space="preserve"> trained on SPY returns.</w:t>
      </w:r>
    </w:p>
    <w:p w14:paraId="19065515" w14:textId="0D35ADF7" w:rsidR="00E70751" w:rsidRDefault="00B87CBE" w:rsidP="000672FB">
      <w:pPr>
        <w:spacing w:line="480" w:lineRule="auto"/>
        <w:ind w:firstLine="720"/>
        <w:rPr>
          <w:rFonts w:ascii="Times New Roman" w:hAnsi="Times New Roman" w:cs="Times New Roman"/>
        </w:rPr>
      </w:pPr>
      <w:r>
        <w:rPr>
          <w:rFonts w:ascii="Times New Roman" w:hAnsi="Times New Roman" w:cs="Times New Roman"/>
        </w:rPr>
        <w:t xml:space="preserve">I changed up the ATTF securities while </w:t>
      </w:r>
      <w:r w:rsidR="00A319E1">
        <w:rPr>
          <w:rFonts w:ascii="Times New Roman" w:hAnsi="Times New Roman" w:cs="Times New Roman"/>
        </w:rPr>
        <w:t>maintaining</w:t>
      </w:r>
      <w:r>
        <w:rPr>
          <w:rFonts w:ascii="Times New Roman" w:hAnsi="Times New Roman" w:cs="Times New Roman"/>
        </w:rPr>
        <w:t xml:space="preserve"> the four sleeve allocations from Checkpoint A based on the research conducted in both Checkpoint A and the Optimization Programming Assignment 2, </w:t>
      </w:r>
      <w:r w:rsidR="00B934F4">
        <w:rPr>
          <w:rFonts w:ascii="Times New Roman" w:hAnsi="Times New Roman" w:cs="Times New Roman"/>
        </w:rPr>
        <w:t xml:space="preserve">the professor’s notes from Checkpoint A, and to better answer the questions fundamental to this assignment. I increased the securities from 20 to </w:t>
      </w:r>
      <w:r w:rsidR="00A319E1">
        <w:rPr>
          <w:rFonts w:ascii="Times New Roman" w:hAnsi="Times New Roman" w:cs="Times New Roman"/>
        </w:rPr>
        <w:t>22 but</w:t>
      </w:r>
      <w:r w:rsidR="003916D2">
        <w:rPr>
          <w:rFonts w:ascii="Times New Roman" w:hAnsi="Times New Roman" w:cs="Times New Roman"/>
        </w:rPr>
        <w:t xml:space="preserve"> decided to substitute some of the riskier momentum-based stocks for established companies that still fall into the sleeves determined. </w:t>
      </w:r>
      <w:r w:rsidR="00000BAB">
        <w:rPr>
          <w:rFonts w:ascii="Times New Roman" w:hAnsi="Times New Roman" w:cs="Times New Roman"/>
        </w:rPr>
        <w:t>For example, I replaced ACHR for BA in the Space and Robotics sleeve.</w:t>
      </w:r>
      <w:r w:rsidR="00035C60">
        <w:rPr>
          <w:rFonts w:ascii="Times New Roman" w:hAnsi="Times New Roman" w:cs="Times New Roman"/>
        </w:rPr>
        <w:t xml:space="preserve"> </w:t>
      </w:r>
      <w:r w:rsidR="00B5553E">
        <w:rPr>
          <w:rFonts w:ascii="Times New Roman" w:hAnsi="Times New Roman" w:cs="Times New Roman"/>
        </w:rPr>
        <w:t xml:space="preserve">The addition of established companies, </w:t>
      </w:r>
      <w:r w:rsidR="008845B9">
        <w:rPr>
          <w:rFonts w:ascii="Times New Roman" w:hAnsi="Times New Roman" w:cs="Times New Roman"/>
        </w:rPr>
        <w:t>i.e.,</w:t>
      </w:r>
      <w:r w:rsidR="00B5553E">
        <w:rPr>
          <w:rFonts w:ascii="Times New Roman" w:hAnsi="Times New Roman" w:cs="Times New Roman"/>
        </w:rPr>
        <w:t xml:space="preserve"> MSFT, IBM, GOOG, HON, BA, and ORCL, provides 25-year price histories </w:t>
      </w:r>
      <w:r w:rsidR="00F60C2E">
        <w:rPr>
          <w:rFonts w:ascii="Times New Roman" w:hAnsi="Times New Roman" w:cs="Times New Roman"/>
        </w:rPr>
        <w:t xml:space="preserve">for half the portfolio, </w:t>
      </w:r>
      <w:r w:rsidR="00703CA2">
        <w:rPr>
          <w:rFonts w:ascii="Times New Roman" w:hAnsi="Times New Roman" w:cs="Times New Roman"/>
        </w:rPr>
        <w:t>improving</w:t>
      </w:r>
      <w:r w:rsidR="00F60C2E">
        <w:rPr>
          <w:rFonts w:ascii="Times New Roman" w:hAnsi="Times New Roman" w:cs="Times New Roman"/>
        </w:rPr>
        <w:t xml:space="preserve"> backtest robustness and reducing survivorship bias. </w:t>
      </w:r>
    </w:p>
    <w:p w14:paraId="76849CFB" w14:textId="171FF0AE" w:rsidR="00FA289E" w:rsidRPr="00A3620F" w:rsidRDefault="00035C60" w:rsidP="00251D18">
      <w:pPr>
        <w:spacing w:line="480" w:lineRule="auto"/>
        <w:ind w:firstLine="720"/>
        <w:rPr>
          <w:rFonts w:ascii="Times New Roman" w:hAnsi="Times New Roman" w:cs="Times New Roman"/>
        </w:rPr>
      </w:pPr>
      <w:r>
        <w:rPr>
          <w:rFonts w:ascii="Times New Roman" w:hAnsi="Times New Roman" w:cs="Times New Roman"/>
        </w:rPr>
        <w:t xml:space="preserve">The intended audience for this research includes portfolio managers evaluating systematic allocation strategies for thematic ETFs, </w:t>
      </w:r>
      <w:r w:rsidR="0008592D">
        <w:rPr>
          <w:rFonts w:ascii="Times New Roman" w:hAnsi="Times New Roman" w:cs="Times New Roman"/>
        </w:rPr>
        <w:t xml:space="preserve">students and researchers studying the application of </w:t>
      </w:r>
      <w:r w:rsidR="004F6870">
        <w:rPr>
          <w:rFonts w:ascii="Times New Roman" w:hAnsi="Times New Roman" w:cs="Times New Roman"/>
        </w:rPr>
        <w:t>these</w:t>
      </w:r>
      <w:r w:rsidR="0008592D">
        <w:rPr>
          <w:rFonts w:ascii="Times New Roman" w:hAnsi="Times New Roman" w:cs="Times New Roman"/>
        </w:rPr>
        <w:t xml:space="preserve"> methods to innovation-driven securities, and quantitative analysts. </w:t>
      </w:r>
      <w:r w:rsidR="00916C35">
        <w:rPr>
          <w:rFonts w:ascii="Times New Roman" w:hAnsi="Times New Roman" w:cs="Times New Roman"/>
        </w:rPr>
        <w:t>The central research question</w:t>
      </w:r>
      <w:r w:rsidR="002135D6">
        <w:rPr>
          <w:rFonts w:ascii="Times New Roman" w:hAnsi="Times New Roman" w:cs="Times New Roman"/>
        </w:rPr>
        <w:t>s for this checkpoint are: Can momentum-based individual stock selection outperform sleeve-level portfolio diversification on a risk-adjusted basis? Can machine learning methods trained on momentum</w:t>
      </w:r>
      <w:r w:rsidR="0035161C">
        <w:rPr>
          <w:rFonts w:ascii="Times New Roman" w:hAnsi="Times New Roman" w:cs="Times New Roman"/>
        </w:rPr>
        <w:t xml:space="preserve"> and volatility generate economically significant alphas net of transaction costs and management fees? </w:t>
      </w:r>
      <w:r w:rsidR="00E01609">
        <w:rPr>
          <w:rFonts w:ascii="Times New Roman" w:hAnsi="Times New Roman" w:cs="Times New Roman"/>
        </w:rPr>
        <w:t>Can regime-based tactical allocation reduce maximum drawdown during bear markets while capturing upside in bull markets?</w:t>
      </w:r>
      <w:r w:rsidR="00E55741">
        <w:rPr>
          <w:rFonts w:ascii="Times New Roman" w:hAnsi="Times New Roman" w:cs="Times New Roman"/>
        </w:rPr>
        <w:t xml:space="preserve"> Are machine learning strategy returns driven by diversified stock selection </w:t>
      </w:r>
      <w:r w:rsidR="00251D18">
        <w:rPr>
          <w:rFonts w:ascii="Times New Roman" w:hAnsi="Times New Roman" w:cs="Times New Roman"/>
        </w:rPr>
        <w:t>across all four sleeves or concentrated in a single winner?</w:t>
      </w:r>
      <w:r w:rsidR="00FA289E">
        <w:br w:type="page"/>
      </w:r>
    </w:p>
    <w:p w14:paraId="6FF240F6" w14:textId="77777777" w:rsidR="00630757" w:rsidRDefault="00630757" w:rsidP="00B01F72">
      <w:pPr>
        <w:spacing w:line="480" w:lineRule="auto"/>
        <w:rPr>
          <w:rFonts w:ascii="Times New Roman" w:hAnsi="Times New Roman" w:cs="Times New Roman"/>
          <w:b/>
          <w:bCs/>
          <w:sz w:val="32"/>
          <w:szCs w:val="32"/>
        </w:rPr>
      </w:pPr>
      <w:r>
        <w:rPr>
          <w:rFonts w:ascii="Times New Roman" w:hAnsi="Times New Roman" w:cs="Times New Roman"/>
          <w:b/>
          <w:bCs/>
          <w:sz w:val="32"/>
          <w:szCs w:val="32"/>
        </w:rPr>
        <w:lastRenderedPageBreak/>
        <w:t>Literature Review</w:t>
      </w:r>
    </w:p>
    <w:p w14:paraId="41E50F92" w14:textId="76480778" w:rsidR="000A0F4F" w:rsidRDefault="00630757" w:rsidP="00B01F72">
      <w:pPr>
        <w:autoSpaceDE w:val="0"/>
        <w:autoSpaceDN w:val="0"/>
        <w:adjustRightInd w:val="0"/>
        <w:spacing w:after="0" w:line="480" w:lineRule="auto"/>
        <w:ind w:firstLine="720"/>
        <w:rPr>
          <w:rFonts w:ascii="Times New Roman" w:hAnsi="Times New Roman" w:cs="Times New Roman"/>
        </w:rPr>
      </w:pPr>
      <w:r>
        <w:rPr>
          <w:rFonts w:ascii="Times New Roman" w:hAnsi="Times New Roman" w:cs="Times New Roman"/>
        </w:rPr>
        <w:t xml:space="preserve">The academic </w:t>
      </w:r>
      <w:r w:rsidR="000B4373">
        <w:rPr>
          <w:rFonts w:ascii="Times New Roman" w:hAnsi="Times New Roman" w:cs="Times New Roman"/>
        </w:rPr>
        <w:t>literature on portfolio optimization</w:t>
      </w:r>
      <w:r w:rsidR="000A0F4F">
        <w:rPr>
          <w:rFonts w:ascii="Times New Roman" w:hAnsi="Times New Roman" w:cs="Times New Roman"/>
        </w:rPr>
        <w:t>, machine learning in finance, and momentum strategies</w:t>
      </w:r>
      <w:r w:rsidR="000B4373">
        <w:rPr>
          <w:rFonts w:ascii="Times New Roman" w:hAnsi="Times New Roman" w:cs="Times New Roman"/>
        </w:rPr>
        <w:t xml:space="preserve"> provides robust theoretical and empirical support for the methodologies employed in this paper</w:t>
      </w:r>
      <w:r>
        <w:rPr>
          <w:rFonts w:ascii="Times New Roman" w:hAnsi="Times New Roman" w:cs="Times New Roman"/>
        </w:rPr>
        <w:t xml:space="preserve">. I conducted academic research based on the course’s bibliographies, online research, and finally, I focused research on how </w:t>
      </w:r>
      <w:r w:rsidR="004E0D4E">
        <w:rPr>
          <w:rFonts w:ascii="Times New Roman" w:hAnsi="Times New Roman" w:cs="Times New Roman"/>
        </w:rPr>
        <w:t xml:space="preserve">Ark determines </w:t>
      </w:r>
      <w:r w:rsidR="002068AD">
        <w:rPr>
          <w:rFonts w:ascii="Times New Roman" w:hAnsi="Times New Roman" w:cs="Times New Roman"/>
        </w:rPr>
        <w:t>fund allocations as an industry benchmark.</w:t>
      </w:r>
      <w:r>
        <w:rPr>
          <w:rFonts w:ascii="Times New Roman" w:hAnsi="Times New Roman" w:cs="Times New Roman"/>
        </w:rPr>
        <w:t xml:space="preserve"> </w:t>
      </w:r>
      <w:r w:rsidR="00031808">
        <w:rPr>
          <w:rFonts w:ascii="Times New Roman" w:hAnsi="Times New Roman" w:cs="Times New Roman"/>
        </w:rPr>
        <w:t xml:space="preserve">Markowtiz’s (1952) foundational work on portfolio selection established that rational investors should construct portfolios by maximizing expected return for a given level of risk. </w:t>
      </w:r>
      <w:r w:rsidR="0093798D">
        <w:rPr>
          <w:rFonts w:ascii="Times New Roman" w:hAnsi="Times New Roman" w:cs="Times New Roman"/>
        </w:rPr>
        <w:t xml:space="preserve">This optimization produces the </w:t>
      </w:r>
      <w:r w:rsidR="00B82E9E">
        <w:rPr>
          <w:rFonts w:ascii="Times New Roman" w:hAnsi="Times New Roman" w:cs="Times New Roman"/>
        </w:rPr>
        <w:t>E</w:t>
      </w:r>
      <w:r w:rsidR="0093798D">
        <w:rPr>
          <w:rFonts w:ascii="Times New Roman" w:hAnsi="Times New Roman" w:cs="Times New Roman"/>
        </w:rPr>
        <w:t xml:space="preserve">fficient </w:t>
      </w:r>
      <w:r w:rsidR="00B82E9E">
        <w:rPr>
          <w:rFonts w:ascii="Times New Roman" w:hAnsi="Times New Roman" w:cs="Times New Roman"/>
        </w:rPr>
        <w:t>F</w:t>
      </w:r>
      <w:r w:rsidR="0093798D">
        <w:rPr>
          <w:rFonts w:ascii="Times New Roman" w:hAnsi="Times New Roman" w:cs="Times New Roman"/>
        </w:rPr>
        <w:t>rontier, a curve in mean-variance space representing portfolios that dominate all other feasible allocations.</w:t>
      </w:r>
      <w:r w:rsidR="00EB4C40">
        <w:rPr>
          <w:rFonts w:ascii="Times New Roman" w:hAnsi="Times New Roman" w:cs="Times New Roman"/>
        </w:rPr>
        <w:t xml:space="preserve"> For this paper, Markowitz’s framework provides the theoretical foundation for Monte Carlo optimization</w:t>
      </w:r>
      <w:r w:rsidR="004F1677">
        <w:rPr>
          <w:rFonts w:ascii="Times New Roman" w:hAnsi="Times New Roman" w:cs="Times New Roman"/>
        </w:rPr>
        <w:t>. Sharpe (1964) extended Markowitz’s framework with the Capital Asset Pricing Model (CAPM), which relates expected returns to systematic market risk</w:t>
      </w:r>
      <w:r w:rsidR="00E70138">
        <w:rPr>
          <w:rFonts w:ascii="Times New Roman" w:hAnsi="Times New Roman" w:cs="Times New Roman"/>
        </w:rPr>
        <w:t xml:space="preserve">, or beta. </w:t>
      </w:r>
      <w:r w:rsidR="004F1677">
        <w:rPr>
          <w:rFonts w:ascii="Times New Roman" w:hAnsi="Times New Roman" w:cs="Times New Roman"/>
        </w:rPr>
        <w:t>The CAPM implies that securities should be evaluated based on their contributions to portfolio risk rather than their standalone volatility, and that optimal portfolios lie on the efficient frontier tangent to the risk-free rate. For this paper, CAPM provides the theoretical foundation for calculating alpha and beta relative to the SPY benchmark.</w:t>
      </w:r>
    </w:p>
    <w:p w14:paraId="24CA1D62" w14:textId="4790FF0D" w:rsidR="00B45F3A" w:rsidRDefault="00B91266" w:rsidP="00B45F3A">
      <w:pPr>
        <w:autoSpaceDE w:val="0"/>
        <w:autoSpaceDN w:val="0"/>
        <w:adjustRightInd w:val="0"/>
        <w:spacing w:after="0" w:line="480" w:lineRule="auto"/>
        <w:ind w:firstLine="720"/>
        <w:rPr>
          <w:rFonts w:ascii="Times New Roman" w:hAnsi="Times New Roman" w:cs="Times New Roman"/>
        </w:rPr>
      </w:pPr>
      <w:r>
        <w:rPr>
          <w:rFonts w:ascii="Times New Roman" w:hAnsi="Times New Roman" w:cs="Times New Roman"/>
        </w:rPr>
        <w:t xml:space="preserve">Monte Carlo methods explore the space of feasible allocations by randomly generating portfolio weights, calculating risk-return metrics for each allocation, and mapping the efficient frontier empirically rather than solving the optimization problem analytically. Glasserman (2004) emphasized variance reduction techniques, random number generation, and convergence diagnostics in financial engineering utilizing Monte Carlo methods. </w:t>
      </w:r>
      <w:r w:rsidR="00284E2E">
        <w:rPr>
          <w:rFonts w:ascii="Times New Roman" w:hAnsi="Times New Roman" w:cs="Times New Roman"/>
        </w:rPr>
        <w:t xml:space="preserve">This </w:t>
      </w:r>
      <w:r>
        <w:rPr>
          <w:rFonts w:ascii="Times New Roman" w:hAnsi="Times New Roman" w:cs="Times New Roman"/>
        </w:rPr>
        <w:t>research led me to determine that 1</w:t>
      </w:r>
      <w:r w:rsidR="00435C92">
        <w:rPr>
          <w:rFonts w:ascii="Times New Roman" w:hAnsi="Times New Roman" w:cs="Times New Roman"/>
        </w:rPr>
        <w:t>0</w:t>
      </w:r>
      <w:r>
        <w:rPr>
          <w:rFonts w:ascii="Times New Roman" w:hAnsi="Times New Roman" w:cs="Times New Roman"/>
        </w:rPr>
        <w:t xml:space="preserve">,000 random portfolio allocations </w:t>
      </w:r>
      <w:r w:rsidR="00F64052">
        <w:rPr>
          <w:rFonts w:ascii="Times New Roman" w:hAnsi="Times New Roman" w:cs="Times New Roman"/>
        </w:rPr>
        <w:t xml:space="preserve">would be </w:t>
      </w:r>
      <w:r w:rsidR="00D64E30">
        <w:rPr>
          <w:rFonts w:ascii="Times New Roman" w:hAnsi="Times New Roman" w:cs="Times New Roman"/>
        </w:rPr>
        <w:t>suitable</w:t>
      </w:r>
      <w:r w:rsidR="00F64052">
        <w:rPr>
          <w:rFonts w:ascii="Times New Roman" w:hAnsi="Times New Roman" w:cs="Times New Roman"/>
        </w:rPr>
        <w:t xml:space="preserve"> for </w:t>
      </w:r>
      <w:r>
        <w:rPr>
          <w:rFonts w:ascii="Times New Roman" w:hAnsi="Times New Roman" w:cs="Times New Roman"/>
        </w:rPr>
        <w:t>mapping the efficient frontier of the ATTF.</w:t>
      </w:r>
    </w:p>
    <w:p w14:paraId="5495D31C" w14:textId="6FB534E6" w:rsidR="00F17FB8" w:rsidRDefault="00257BF9" w:rsidP="00983293">
      <w:pPr>
        <w:autoSpaceDE w:val="0"/>
        <w:autoSpaceDN w:val="0"/>
        <w:adjustRightInd w:val="0"/>
        <w:spacing w:after="0" w:line="480" w:lineRule="auto"/>
        <w:ind w:firstLine="720"/>
        <w:rPr>
          <w:rFonts w:ascii="Times New Roman" w:hAnsi="Times New Roman" w:cs="Times New Roman"/>
        </w:rPr>
      </w:pPr>
      <w:r>
        <w:rPr>
          <w:rFonts w:ascii="Times New Roman" w:hAnsi="Times New Roman" w:cs="Times New Roman"/>
        </w:rPr>
        <w:lastRenderedPageBreak/>
        <w:t xml:space="preserve">Moreira and Muir (2017) showed that volatility-managed portfolios, which scale exposure inversely with volatility, generate higher Sharpe ratios than buy-and-hold strategies. </w:t>
      </w:r>
      <w:r w:rsidR="009D3ABC">
        <w:rPr>
          <w:rFonts w:ascii="Times New Roman" w:hAnsi="Times New Roman" w:cs="Times New Roman"/>
        </w:rPr>
        <w:t xml:space="preserve">Their results suggest that dynamic allocation strategies can improve risk-adjusted returns, but only if transaction costs remain modest. </w:t>
      </w:r>
      <w:r w:rsidR="00E85D29">
        <w:rPr>
          <w:rFonts w:ascii="Times New Roman" w:hAnsi="Times New Roman" w:cs="Times New Roman"/>
        </w:rPr>
        <w:t>This</w:t>
      </w:r>
      <w:r w:rsidR="009D3ABC">
        <w:rPr>
          <w:rFonts w:ascii="Times New Roman" w:hAnsi="Times New Roman" w:cs="Times New Roman"/>
        </w:rPr>
        <w:t xml:space="preserve"> led me to</w:t>
      </w:r>
      <w:r w:rsidR="00352376">
        <w:rPr>
          <w:rFonts w:ascii="Times New Roman" w:hAnsi="Times New Roman" w:cs="Times New Roman"/>
        </w:rPr>
        <w:t xml:space="preserve"> incorporate</w:t>
      </w:r>
      <w:r w:rsidR="009D3ABC">
        <w:rPr>
          <w:rFonts w:ascii="Times New Roman" w:hAnsi="Times New Roman" w:cs="Times New Roman"/>
        </w:rPr>
        <w:t xml:space="preserve"> explicit modeling of transaction costs, ensuring that net-of-fees performance reflects realistic implementation costs.</w:t>
      </w:r>
      <w:r w:rsidR="00352376">
        <w:rPr>
          <w:rFonts w:ascii="Times New Roman" w:hAnsi="Times New Roman" w:cs="Times New Roman"/>
        </w:rPr>
        <w:t xml:space="preserve"> </w:t>
      </w:r>
      <w:r w:rsidR="00F57ED0">
        <w:rPr>
          <w:rFonts w:ascii="Times New Roman" w:hAnsi="Times New Roman" w:cs="Times New Roman"/>
        </w:rPr>
        <w:t>Additionally</w:t>
      </w:r>
      <w:r w:rsidR="00352376">
        <w:rPr>
          <w:rFonts w:ascii="Times New Roman" w:hAnsi="Times New Roman" w:cs="Times New Roman"/>
        </w:rPr>
        <w:t xml:space="preserve">, </w:t>
      </w:r>
      <w:r w:rsidR="00893082">
        <w:rPr>
          <w:rFonts w:ascii="Times New Roman" w:hAnsi="Times New Roman" w:cs="Times New Roman"/>
        </w:rPr>
        <w:t xml:space="preserve">I continued to utilize ARK Invest as a benchmark to measure my development and modeling of the ATTF. </w:t>
      </w:r>
      <w:r w:rsidR="000D6B35">
        <w:rPr>
          <w:rFonts w:ascii="Times New Roman" w:hAnsi="Times New Roman" w:cs="Times New Roman"/>
        </w:rPr>
        <w:t xml:space="preserve">While ARK relies on discretionary, conviction-based management, this checkpoint </w:t>
      </w:r>
      <w:r w:rsidR="00A80376">
        <w:rPr>
          <w:rFonts w:ascii="Times New Roman" w:hAnsi="Times New Roman" w:cs="Times New Roman"/>
        </w:rPr>
        <w:t>continues with the evaluation from previous assignments on</w:t>
      </w:r>
      <w:r w:rsidR="000D6B35">
        <w:rPr>
          <w:rFonts w:ascii="Times New Roman" w:hAnsi="Times New Roman" w:cs="Times New Roman"/>
        </w:rPr>
        <w:t xml:space="preserve"> whether quan</w:t>
      </w:r>
      <w:r w:rsidR="00A80376">
        <w:rPr>
          <w:rFonts w:ascii="Times New Roman" w:hAnsi="Times New Roman" w:cs="Times New Roman"/>
        </w:rPr>
        <w:t>titative, rules-based portfolio construction can achieve similar thematic exposure with systematic risk controls. Wright</w:t>
      </w:r>
      <w:r w:rsidR="0048075C">
        <w:rPr>
          <w:rFonts w:ascii="Times New Roman" w:hAnsi="Times New Roman" w:cs="Times New Roman"/>
        </w:rPr>
        <w:t>’s Law states that cost declines as a power function of cumulative production</w:t>
      </w:r>
      <w:r w:rsidR="00172A9D">
        <w:rPr>
          <w:rFonts w:ascii="Times New Roman" w:hAnsi="Times New Roman" w:cs="Times New Roman"/>
        </w:rPr>
        <w:t xml:space="preserve">. This empirical relationship provides </w:t>
      </w:r>
      <w:r w:rsidR="005B56C2">
        <w:rPr>
          <w:rFonts w:ascii="Times New Roman" w:hAnsi="Times New Roman" w:cs="Times New Roman"/>
        </w:rPr>
        <w:t>theoretical</w:t>
      </w:r>
      <w:r w:rsidR="00172A9D">
        <w:rPr>
          <w:rFonts w:ascii="Times New Roman" w:hAnsi="Times New Roman" w:cs="Times New Roman"/>
        </w:rPr>
        <w:t xml:space="preserve"> support for concentration in high-momentum innovation sectors </w:t>
      </w:r>
      <w:r w:rsidR="001842A1">
        <w:rPr>
          <w:rFonts w:ascii="Times New Roman" w:hAnsi="Times New Roman" w:cs="Times New Roman"/>
        </w:rPr>
        <w:t xml:space="preserve">where companies in burgeoning technologies create a competitive advantage for early leaders. </w:t>
      </w:r>
      <w:r w:rsidR="00B45F3A">
        <w:rPr>
          <w:rFonts w:ascii="Times New Roman" w:hAnsi="Times New Roman" w:cs="Times New Roman"/>
        </w:rPr>
        <w:t>Grinold and Kahn (2000) introduced the fundamental law of active management. Their framework formalize</w:t>
      </w:r>
      <w:r w:rsidR="00B3178D">
        <w:rPr>
          <w:rFonts w:ascii="Times New Roman" w:hAnsi="Times New Roman" w:cs="Times New Roman"/>
        </w:rPr>
        <w:t>d</w:t>
      </w:r>
      <w:r w:rsidR="00B45F3A">
        <w:rPr>
          <w:rFonts w:ascii="Times New Roman" w:hAnsi="Times New Roman" w:cs="Times New Roman"/>
        </w:rPr>
        <w:t xml:space="preserve"> the trade-off between concentration and diversification. For the ATTF, this framework suggests that if momentum signals provide genuine alpha, the fund should concentrate capital in high-momentum sleeves</w:t>
      </w:r>
      <w:r w:rsidR="00403EE3">
        <w:rPr>
          <w:rFonts w:ascii="Times New Roman" w:hAnsi="Times New Roman" w:cs="Times New Roman"/>
        </w:rPr>
        <w:t xml:space="preserve"> or securities</w:t>
      </w:r>
      <w:r w:rsidR="00B45F3A">
        <w:rPr>
          <w:rFonts w:ascii="Times New Roman" w:hAnsi="Times New Roman" w:cs="Times New Roman"/>
        </w:rPr>
        <w:t xml:space="preserve"> rather than maintaining equal weights.</w:t>
      </w:r>
      <w:r w:rsidR="00FD0676">
        <w:rPr>
          <w:rFonts w:ascii="Times New Roman" w:hAnsi="Times New Roman" w:cs="Times New Roman"/>
        </w:rPr>
        <w:t xml:space="preserve"> </w:t>
      </w:r>
      <w:r w:rsidR="00DC3ECC">
        <w:rPr>
          <w:rFonts w:ascii="Times New Roman" w:hAnsi="Times New Roman" w:cs="Times New Roman"/>
        </w:rPr>
        <w:t>The literature collectively supports the methodological approach of this research and paper</w:t>
      </w:r>
      <w:r w:rsidR="00DD69A6">
        <w:rPr>
          <w:rFonts w:ascii="Times New Roman" w:hAnsi="Times New Roman" w:cs="Times New Roman"/>
        </w:rPr>
        <w:t xml:space="preserve"> to explore efficient portfolio allocations, calculate alpha and beta to assess active management value, and explicitly model fees and transaction costs to ensure realistic performance measurement.</w:t>
      </w:r>
    </w:p>
    <w:p w14:paraId="47494F9D" w14:textId="77777777" w:rsidR="00630757" w:rsidRDefault="00630757" w:rsidP="00B01F72">
      <w:pPr>
        <w:spacing w:line="480" w:lineRule="auto"/>
        <w:rPr>
          <w:rFonts w:ascii="Times New Roman" w:hAnsi="Times New Roman" w:cs="Times New Roman"/>
          <w:b/>
          <w:bCs/>
          <w:sz w:val="32"/>
          <w:szCs w:val="32"/>
        </w:rPr>
      </w:pPr>
      <w:r>
        <w:rPr>
          <w:rFonts w:ascii="Times New Roman" w:hAnsi="Times New Roman" w:cs="Times New Roman"/>
          <w:b/>
          <w:bCs/>
          <w:sz w:val="32"/>
          <w:szCs w:val="32"/>
        </w:rPr>
        <w:t>Methods</w:t>
      </w:r>
    </w:p>
    <w:p w14:paraId="6BD2A6BF" w14:textId="310E8862" w:rsidR="00CE13B3" w:rsidRDefault="00CE13B3" w:rsidP="00B01F72">
      <w:pPr>
        <w:spacing w:line="480" w:lineRule="auto"/>
        <w:rPr>
          <w:rFonts w:ascii="Times New Roman" w:hAnsi="Times New Roman" w:cs="Times New Roman"/>
        </w:rPr>
      </w:pPr>
      <w:r>
        <w:rPr>
          <w:rFonts w:ascii="Times New Roman" w:hAnsi="Times New Roman" w:cs="Times New Roman"/>
        </w:rPr>
        <w:tab/>
      </w:r>
      <w:r w:rsidR="0090014A">
        <w:rPr>
          <w:rFonts w:ascii="Times New Roman" w:hAnsi="Times New Roman" w:cs="Times New Roman"/>
        </w:rPr>
        <w:t xml:space="preserve">For Checkpoint B, I </w:t>
      </w:r>
      <w:r w:rsidR="003248E9">
        <w:rPr>
          <w:rFonts w:ascii="Times New Roman" w:hAnsi="Times New Roman" w:cs="Times New Roman"/>
        </w:rPr>
        <w:t>incorporated several methodological advances beyond Checkpoint A</w:t>
      </w:r>
      <w:r w:rsidR="00252115">
        <w:rPr>
          <w:rFonts w:ascii="Times New Roman" w:hAnsi="Times New Roman" w:cs="Times New Roman"/>
        </w:rPr>
        <w:t xml:space="preserve"> and the programming assignments</w:t>
      </w:r>
      <w:r w:rsidR="00E62139">
        <w:rPr>
          <w:rFonts w:ascii="Times New Roman" w:hAnsi="Times New Roman" w:cs="Times New Roman"/>
        </w:rPr>
        <w:t xml:space="preserve"> combining data acquisition, portfolio construction, Monte </w:t>
      </w:r>
      <w:r w:rsidR="00E62139">
        <w:rPr>
          <w:rFonts w:ascii="Times New Roman" w:hAnsi="Times New Roman" w:cs="Times New Roman"/>
        </w:rPr>
        <w:lastRenderedPageBreak/>
        <w:t xml:space="preserve">Carlo optimization, </w:t>
      </w:r>
      <w:r w:rsidR="00882173">
        <w:rPr>
          <w:rFonts w:ascii="Times New Roman" w:hAnsi="Times New Roman" w:cs="Times New Roman"/>
        </w:rPr>
        <w:t>ML</w:t>
      </w:r>
      <w:r w:rsidR="00E62139">
        <w:rPr>
          <w:rFonts w:ascii="Times New Roman" w:hAnsi="Times New Roman" w:cs="Times New Roman"/>
        </w:rPr>
        <w:t xml:space="preserve">, momentum strategies, and regime detection. </w:t>
      </w:r>
      <w:r w:rsidR="00BC2C87">
        <w:rPr>
          <w:rFonts w:ascii="Times New Roman" w:hAnsi="Times New Roman" w:cs="Times New Roman"/>
        </w:rPr>
        <w:t xml:space="preserve">The analysis spans from October 26, </w:t>
      </w:r>
      <w:r w:rsidR="007B5C4E">
        <w:rPr>
          <w:rFonts w:ascii="Times New Roman" w:hAnsi="Times New Roman" w:cs="Times New Roman"/>
        </w:rPr>
        <w:t>2015,</w:t>
      </w:r>
      <w:r w:rsidR="00BC2C87">
        <w:rPr>
          <w:rFonts w:ascii="Times New Roman" w:hAnsi="Times New Roman" w:cs="Times New Roman"/>
        </w:rPr>
        <w:t xml:space="preserve"> through October 10, 2025, </w:t>
      </w:r>
      <w:r w:rsidR="00DB46E2">
        <w:rPr>
          <w:rFonts w:ascii="Times New Roman" w:hAnsi="Times New Roman" w:cs="Times New Roman"/>
        </w:rPr>
        <w:t xml:space="preserve">capturing multiple market regimes and providing sufficient data for walk-forward </w:t>
      </w:r>
      <w:r w:rsidR="00882173">
        <w:rPr>
          <w:rFonts w:ascii="Times New Roman" w:hAnsi="Times New Roman" w:cs="Times New Roman"/>
        </w:rPr>
        <w:t>ML</w:t>
      </w:r>
      <w:r w:rsidR="00DB46E2">
        <w:rPr>
          <w:rFonts w:ascii="Times New Roman" w:hAnsi="Times New Roman" w:cs="Times New Roman"/>
        </w:rPr>
        <w:t xml:space="preserve"> validation while maintaining relevance to current market conditions.</w:t>
      </w:r>
    </w:p>
    <w:p w14:paraId="6E4F0060" w14:textId="0F081902" w:rsidR="00FE03CC" w:rsidRDefault="000F38BB" w:rsidP="00B01F72">
      <w:pPr>
        <w:spacing w:line="480" w:lineRule="auto"/>
        <w:rPr>
          <w:rFonts w:ascii="Times New Roman" w:hAnsi="Times New Roman" w:cs="Times New Roman"/>
        </w:rPr>
      </w:pPr>
      <w:r>
        <w:rPr>
          <w:rFonts w:ascii="Times New Roman" w:hAnsi="Times New Roman" w:cs="Times New Roman"/>
        </w:rPr>
        <w:tab/>
      </w:r>
      <w:r w:rsidR="00E45BFB">
        <w:rPr>
          <w:rFonts w:ascii="Times New Roman" w:hAnsi="Times New Roman" w:cs="Times New Roman"/>
        </w:rPr>
        <w:t xml:space="preserve">The research utilized daily dividend-adjusted price data for 21 securities, since CORW data could not be pulled </w:t>
      </w:r>
      <w:r w:rsidR="007B5C4E">
        <w:rPr>
          <w:rFonts w:ascii="Times New Roman" w:hAnsi="Times New Roman" w:cs="Times New Roman"/>
        </w:rPr>
        <w:t>like</w:t>
      </w:r>
      <w:r w:rsidR="00E45BFB">
        <w:rPr>
          <w:rFonts w:ascii="Times New Roman" w:hAnsi="Times New Roman" w:cs="Times New Roman"/>
        </w:rPr>
        <w:t xml:space="preserve"> Checkpoint A, acquired via the Polygon.io financial markets API. AI infrastructure included: NVDA, AMD, MSFT, QCOM, NBIS, ORCL. Robotics and Space included: TSLA, JOBY, RKLB, ASTS, BA. Cryptocurrencies included: IREN, CORZ, IBIT, COIN, CLSK. Quantum computing included: IONQ, RGTI, IBM, GOOG, HON. I would like to point out </w:t>
      </w:r>
      <w:r w:rsidR="00ED2EE5">
        <w:rPr>
          <w:rFonts w:ascii="Times New Roman" w:hAnsi="Times New Roman" w:cs="Times New Roman"/>
        </w:rPr>
        <w:t xml:space="preserve">that </w:t>
      </w:r>
      <w:r w:rsidR="00E45BFB">
        <w:rPr>
          <w:rFonts w:ascii="Times New Roman" w:hAnsi="Times New Roman" w:cs="Times New Roman"/>
        </w:rPr>
        <w:t xml:space="preserve">MSFT, QCOM, ORCL, BA, IBM, GOOG, and HON </w:t>
      </w:r>
      <w:r w:rsidR="00ED2EE5">
        <w:rPr>
          <w:rFonts w:ascii="Times New Roman" w:hAnsi="Times New Roman" w:cs="Times New Roman"/>
        </w:rPr>
        <w:t xml:space="preserve">were included </w:t>
      </w:r>
      <w:r w:rsidR="00703CA2">
        <w:rPr>
          <w:rFonts w:ascii="Times New Roman" w:hAnsi="Times New Roman" w:cs="Times New Roman"/>
        </w:rPr>
        <w:t>to</w:t>
      </w:r>
      <w:r w:rsidR="00ED2EE5">
        <w:rPr>
          <w:rFonts w:ascii="Times New Roman" w:hAnsi="Times New Roman" w:cs="Times New Roman"/>
        </w:rPr>
        <w:t xml:space="preserve"> </w:t>
      </w:r>
      <w:r w:rsidR="00E45BFB">
        <w:rPr>
          <w:rFonts w:ascii="Times New Roman" w:hAnsi="Times New Roman" w:cs="Times New Roman"/>
        </w:rPr>
        <w:t xml:space="preserve">capture not only the dividend accumulation but also the historical data and market performance of these stocks. For each dividend payment, the adjustment factor is calculated as (1 + dividend/price), and all future prices are multiplied by this factor cumulatively. This approach </w:t>
      </w:r>
      <w:r w:rsidR="00F020FB">
        <w:rPr>
          <w:rFonts w:ascii="Times New Roman" w:hAnsi="Times New Roman" w:cs="Times New Roman"/>
        </w:rPr>
        <w:t>maintains</w:t>
      </w:r>
      <w:r w:rsidR="00E45BFB">
        <w:rPr>
          <w:rFonts w:ascii="Times New Roman" w:hAnsi="Times New Roman" w:cs="Times New Roman"/>
        </w:rPr>
        <w:t xml:space="preserve"> that returns reflect both capital appreciation and reinvested dividends. I ensured the SPY benchmark received identical dividend adjustment using its 43 dividend payments over the sample period. Log returns were calculated as ln(Pt/Pt-1) rather than the simple percentage changes (Pt/Pt-1 -1). Log returns offer </w:t>
      </w:r>
      <w:r w:rsidR="00BF12A5">
        <w:rPr>
          <w:rFonts w:ascii="Times New Roman" w:hAnsi="Times New Roman" w:cs="Times New Roman"/>
        </w:rPr>
        <w:t>the advantages of being</w:t>
      </w:r>
      <w:r w:rsidR="00E45BFB">
        <w:rPr>
          <w:rFonts w:ascii="Times New Roman" w:hAnsi="Times New Roman" w:cs="Times New Roman"/>
        </w:rPr>
        <w:t xml:space="preserve"> additive across time, enabling straightforward multi-period return calculations</w:t>
      </w:r>
      <w:r w:rsidR="00BF12A5">
        <w:rPr>
          <w:rFonts w:ascii="Times New Roman" w:hAnsi="Times New Roman" w:cs="Times New Roman"/>
        </w:rPr>
        <w:t xml:space="preserve">, and they are </w:t>
      </w:r>
      <w:r w:rsidR="00E45BFB">
        <w:rPr>
          <w:rFonts w:ascii="Times New Roman" w:hAnsi="Times New Roman" w:cs="Times New Roman"/>
        </w:rPr>
        <w:t>normally distributed thereby supporting mean-variance optimization. For small returns, log and simple returns are nearly identical, but for large moves typical in transformational technology stocks, log returns provide more accurate statistical properties.</w:t>
      </w:r>
    </w:p>
    <w:p w14:paraId="43F847BF" w14:textId="764382EA" w:rsidR="00654E2B" w:rsidRDefault="00A87CD8" w:rsidP="00A87CD8">
      <w:pPr>
        <w:spacing w:line="480" w:lineRule="auto"/>
        <w:rPr>
          <w:rFonts w:ascii="Times New Roman" w:hAnsi="Times New Roman" w:cs="Times New Roman"/>
        </w:rPr>
      </w:pPr>
      <w:r>
        <w:rPr>
          <w:rFonts w:ascii="Times New Roman" w:hAnsi="Times New Roman" w:cs="Times New Roman"/>
        </w:rPr>
        <w:tab/>
        <w:t>I maintained the thematic sleeves established in Checkpoint A</w:t>
      </w:r>
      <w:r w:rsidR="004630A1">
        <w:rPr>
          <w:rFonts w:ascii="Times New Roman" w:hAnsi="Times New Roman" w:cs="Times New Roman"/>
        </w:rPr>
        <w:t xml:space="preserve">, each representing a distinct transformative technology sector. The </w:t>
      </w:r>
      <w:r w:rsidR="007B01E2">
        <w:rPr>
          <w:rFonts w:ascii="Times New Roman" w:hAnsi="Times New Roman" w:cs="Times New Roman"/>
        </w:rPr>
        <w:t xml:space="preserve">allocation methodology follows Checkpoint A’s </w:t>
      </w:r>
      <w:r w:rsidR="007B01E2">
        <w:rPr>
          <w:rFonts w:ascii="Times New Roman" w:hAnsi="Times New Roman" w:cs="Times New Roman"/>
        </w:rPr>
        <w:lastRenderedPageBreak/>
        <w:t xml:space="preserve">framework by utilizing </w:t>
      </w:r>
      <w:r w:rsidR="000109FB">
        <w:rPr>
          <w:rFonts w:ascii="Times New Roman" w:hAnsi="Times New Roman" w:cs="Times New Roman"/>
        </w:rPr>
        <w:t>equal weighting</w:t>
      </w:r>
      <w:r w:rsidR="007B01E2">
        <w:rPr>
          <w:rFonts w:ascii="Times New Roman" w:hAnsi="Times New Roman" w:cs="Times New Roman"/>
        </w:rPr>
        <w:t xml:space="preserve"> within sleeves </w:t>
      </w:r>
      <w:r w:rsidR="007C233D">
        <w:rPr>
          <w:rFonts w:ascii="Times New Roman" w:hAnsi="Times New Roman" w:cs="Times New Roman"/>
        </w:rPr>
        <w:t xml:space="preserve">then aggregating sleeves according to sleeve allocation, in ATTF’s case 40% for AI Infrastructure, 30% for Robotics and Space, 20% for </w:t>
      </w:r>
      <w:r w:rsidR="000109FB">
        <w:rPr>
          <w:rFonts w:ascii="Times New Roman" w:hAnsi="Times New Roman" w:cs="Times New Roman"/>
        </w:rPr>
        <w:t>Cryptocurrency</w:t>
      </w:r>
      <w:r w:rsidR="007C233D">
        <w:rPr>
          <w:rFonts w:ascii="Times New Roman" w:hAnsi="Times New Roman" w:cs="Times New Roman"/>
        </w:rPr>
        <w:t>, and 10% for Quantum computing.</w:t>
      </w:r>
      <w:r w:rsidR="008330FB">
        <w:rPr>
          <w:rFonts w:ascii="Times New Roman" w:hAnsi="Times New Roman" w:cs="Times New Roman"/>
        </w:rPr>
        <w:t xml:space="preserve"> </w:t>
      </w:r>
      <w:r w:rsidR="0015609F">
        <w:rPr>
          <w:rFonts w:ascii="Times New Roman" w:hAnsi="Times New Roman" w:cs="Times New Roman"/>
        </w:rPr>
        <w:t xml:space="preserve">This two-level structure enables both security-level momentum strategies and sleeve-level optimization. </w:t>
      </w:r>
      <w:r w:rsidR="00654E2B">
        <w:rPr>
          <w:rFonts w:ascii="Times New Roman" w:hAnsi="Times New Roman" w:cs="Times New Roman"/>
        </w:rPr>
        <w:t xml:space="preserve">The incorporation of dividend-paying technology leaders and speculative high-growth names addresses a critical limitation of Checkpoint A, which concentrated </w:t>
      </w:r>
      <w:r w:rsidR="00E92666">
        <w:rPr>
          <w:rFonts w:ascii="Times New Roman" w:hAnsi="Times New Roman" w:cs="Times New Roman"/>
        </w:rPr>
        <w:t>capital in securities with less than four years of public trading history</w:t>
      </w:r>
      <w:r w:rsidR="00D01DC9">
        <w:rPr>
          <w:rFonts w:ascii="Times New Roman" w:hAnsi="Times New Roman" w:cs="Times New Roman"/>
        </w:rPr>
        <w:t>, introducing survivorship bias and insufficient data for walk-forward validation. The</w:t>
      </w:r>
      <w:r w:rsidR="006411E3">
        <w:rPr>
          <w:rFonts w:ascii="Times New Roman" w:hAnsi="Times New Roman" w:cs="Times New Roman"/>
        </w:rPr>
        <w:t xml:space="preserve"> portfolio update </w:t>
      </w:r>
      <w:r w:rsidR="00D01DC9">
        <w:rPr>
          <w:rFonts w:ascii="Times New Roman" w:hAnsi="Times New Roman" w:cs="Times New Roman"/>
        </w:rPr>
        <w:t>enables robust backtesting to 1999 for half the portfolio while maintaining transformational technology exposure through the remaining high-growth names.</w:t>
      </w:r>
    </w:p>
    <w:p w14:paraId="6D031948" w14:textId="6A685DE7" w:rsidR="00E45BFB" w:rsidRPr="00004C6D" w:rsidRDefault="001E0CDC" w:rsidP="00004C6D">
      <w:pPr>
        <w:spacing w:line="480" w:lineRule="auto"/>
        <w:ind w:firstLine="720"/>
        <w:rPr>
          <w:rFonts w:ascii="Times New Roman" w:eastAsiaTheme="minorEastAsia" w:hAnsi="Times New Roman" w:cs="Times New Roman"/>
        </w:rPr>
      </w:pPr>
      <w:r>
        <w:rPr>
          <w:rFonts w:ascii="Times New Roman" w:hAnsi="Times New Roman" w:cs="Times New Roman"/>
        </w:rPr>
        <w:t>For this checkpoint r</w:t>
      </w:r>
      <w:r w:rsidR="00A87CD8">
        <w:rPr>
          <w:rFonts w:ascii="Times New Roman" w:hAnsi="Times New Roman" w:cs="Times New Roman"/>
        </w:rPr>
        <w:t xml:space="preserve">eturns </w:t>
      </w:r>
      <w:r>
        <w:rPr>
          <w:rFonts w:ascii="Times New Roman" w:hAnsi="Times New Roman" w:cs="Times New Roman"/>
        </w:rPr>
        <w:t>were</w:t>
      </w:r>
      <w:r w:rsidR="00A87CD8">
        <w:rPr>
          <w:rFonts w:ascii="Times New Roman" w:hAnsi="Times New Roman" w:cs="Times New Roman"/>
        </w:rPr>
        <w:t xml:space="preserve"> calculated as equal-weighted averages of constituent securities. Annualized statistics were calculated using standard conventions, such as using the annualized expected return </w:t>
      </w:r>
      <w:r w:rsidR="00443AE4">
        <w:rPr>
          <w:rFonts w:ascii="Times New Roman" w:hAnsi="Times New Roman" w:cs="Times New Roman"/>
        </w:rPr>
        <w:t>e</w:t>
      </w:r>
      <w:r w:rsidR="00A87CD8">
        <w:rPr>
          <w:rFonts w:ascii="Times New Roman" w:hAnsi="Times New Roman" w:cs="Times New Roman"/>
        </w:rPr>
        <w:t xml:space="preserve">quals mean daily log return multiplied by 252, and annualized volatility equals standard deviation of daily log returns multiplied by </w:t>
      </w:r>
      <m:oMath>
        <m:r>
          <w:rPr>
            <w:rFonts w:ascii="Cambria Math" w:hAnsi="Cambria Math" w:cs="Times New Roman"/>
          </w:rPr>
          <m:t>√252</m:t>
        </m:r>
      </m:oMath>
      <w:r w:rsidR="00A87CD8">
        <w:rPr>
          <w:rFonts w:ascii="Times New Roman" w:eastAsiaTheme="minorEastAsia" w:hAnsi="Times New Roman" w:cs="Times New Roman"/>
        </w:rPr>
        <w:t>. The covariance matrix was annualized by multiplying the daily covariance matrix by 252. These calculations assume that daily returns are independent and identically distributed, an approximation that holds reasonably well over the 10-year sample despite evidence of volatility clustering and regime shifts.</w:t>
      </w:r>
    </w:p>
    <w:p w14:paraId="1853B705" w14:textId="33B0B98F" w:rsidR="00242A54" w:rsidRDefault="00AB733B" w:rsidP="003064FA">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Explicit fee modeling distinguishes this analysis from academic studies that often ignore implementation costs. The ATTF is modeled as an actively managed ETF with three cost components</w:t>
      </w:r>
      <w:r w:rsidR="00E56723">
        <w:rPr>
          <w:rFonts w:ascii="Times New Roman" w:eastAsiaTheme="minorEastAsia" w:hAnsi="Times New Roman" w:cs="Times New Roman"/>
        </w:rPr>
        <w:t xml:space="preserve"> which are a</w:t>
      </w:r>
      <w:r>
        <w:rPr>
          <w:rFonts w:ascii="Times New Roman" w:eastAsiaTheme="minorEastAsia" w:hAnsi="Times New Roman" w:cs="Times New Roman"/>
        </w:rPr>
        <w:t xml:space="preserve"> management fee of 1.5% annually, transaction costs of 15 basis points </w:t>
      </w:r>
      <w:r w:rsidR="005536E8">
        <w:rPr>
          <w:rFonts w:ascii="Times New Roman" w:eastAsiaTheme="minorEastAsia" w:hAnsi="Times New Roman" w:cs="Times New Roman"/>
        </w:rPr>
        <w:t xml:space="preserve">(BPS) </w:t>
      </w:r>
      <w:r>
        <w:rPr>
          <w:rFonts w:ascii="Times New Roman" w:eastAsiaTheme="minorEastAsia" w:hAnsi="Times New Roman" w:cs="Times New Roman"/>
        </w:rPr>
        <w:t>per trade, and rebalancing</w:t>
      </w:r>
      <w:r w:rsidR="00A40478">
        <w:rPr>
          <w:rFonts w:ascii="Times New Roman" w:eastAsiaTheme="minorEastAsia" w:hAnsi="Times New Roman" w:cs="Times New Roman"/>
        </w:rPr>
        <w:t xml:space="preserve"> costs</w:t>
      </w:r>
      <w:r>
        <w:rPr>
          <w:rFonts w:ascii="Times New Roman" w:eastAsiaTheme="minorEastAsia" w:hAnsi="Times New Roman" w:cs="Times New Roman"/>
        </w:rPr>
        <w:t xml:space="preserve">. </w:t>
      </w:r>
      <w:r w:rsidR="00242A54">
        <w:rPr>
          <w:rFonts w:ascii="Times New Roman" w:eastAsiaTheme="minorEastAsia" w:hAnsi="Times New Roman" w:cs="Times New Roman"/>
        </w:rPr>
        <w:t xml:space="preserve">The management fee </w:t>
      </w:r>
      <w:r w:rsidR="007277DC">
        <w:rPr>
          <w:rFonts w:ascii="Times New Roman" w:eastAsiaTheme="minorEastAsia" w:hAnsi="Times New Roman" w:cs="Times New Roman"/>
        </w:rPr>
        <w:t>mirrors industry standards, such as ARK</w:t>
      </w:r>
      <w:r w:rsidR="004129ED">
        <w:rPr>
          <w:rFonts w:ascii="Times New Roman" w:eastAsiaTheme="minorEastAsia" w:hAnsi="Times New Roman" w:cs="Times New Roman"/>
        </w:rPr>
        <w:t xml:space="preserve">, and it reflects higher active management intensity from </w:t>
      </w:r>
      <w:r w:rsidR="00DF51BC">
        <w:rPr>
          <w:rFonts w:ascii="Times New Roman" w:eastAsiaTheme="minorEastAsia" w:hAnsi="Times New Roman" w:cs="Times New Roman"/>
        </w:rPr>
        <w:t>frequent</w:t>
      </w:r>
      <w:r w:rsidR="004129ED">
        <w:rPr>
          <w:rFonts w:ascii="Times New Roman" w:eastAsiaTheme="minorEastAsia" w:hAnsi="Times New Roman" w:cs="Times New Roman"/>
        </w:rPr>
        <w:t xml:space="preserve"> rebalancing and systematic momentum signals</w:t>
      </w:r>
      <w:r w:rsidR="007F02FB">
        <w:rPr>
          <w:rFonts w:ascii="Times New Roman" w:eastAsiaTheme="minorEastAsia" w:hAnsi="Times New Roman" w:cs="Times New Roman"/>
        </w:rPr>
        <w:t xml:space="preserve">. Transaction costs </w:t>
      </w:r>
      <w:r w:rsidR="001008AA">
        <w:rPr>
          <w:rFonts w:ascii="Times New Roman" w:eastAsiaTheme="minorEastAsia" w:hAnsi="Times New Roman" w:cs="Times New Roman"/>
        </w:rPr>
        <w:t xml:space="preserve">are applied to the notional value of all </w:t>
      </w:r>
      <w:r w:rsidR="001008AA">
        <w:rPr>
          <w:rFonts w:ascii="Times New Roman" w:eastAsiaTheme="minorEastAsia" w:hAnsi="Times New Roman" w:cs="Times New Roman"/>
        </w:rPr>
        <w:lastRenderedPageBreak/>
        <w:t xml:space="preserve">purchases and sales, representing combined impact of bid-ask spreads, market impact, and exchange fees. The 15 BPS </w:t>
      </w:r>
      <w:r w:rsidR="003467A3">
        <w:rPr>
          <w:rFonts w:ascii="Times New Roman" w:eastAsiaTheme="minorEastAsia" w:hAnsi="Times New Roman" w:cs="Times New Roman"/>
        </w:rPr>
        <w:t>assumption is conservative for liquid large-cap stocks but realistic for small-cap names with wider spreads.</w:t>
      </w:r>
      <w:r w:rsidR="009C6C6A">
        <w:rPr>
          <w:rFonts w:ascii="Times New Roman" w:eastAsiaTheme="minorEastAsia" w:hAnsi="Times New Roman" w:cs="Times New Roman"/>
        </w:rPr>
        <w:t xml:space="preserve"> For ML and Clenow strategies, </w:t>
      </w:r>
      <w:r w:rsidR="00196BDB">
        <w:rPr>
          <w:rFonts w:ascii="Times New Roman" w:eastAsiaTheme="minorEastAsia" w:hAnsi="Times New Roman" w:cs="Times New Roman"/>
        </w:rPr>
        <w:t>the costs realized</w:t>
      </w:r>
      <w:r w:rsidR="009C6C6A">
        <w:rPr>
          <w:rFonts w:ascii="Times New Roman" w:eastAsiaTheme="minorEastAsia" w:hAnsi="Times New Roman" w:cs="Times New Roman"/>
        </w:rPr>
        <w:t xml:space="preserve"> were calculated from actual position changes rather than assumed turnover, providing precise net-of-fees performance. </w:t>
      </w:r>
      <w:r w:rsidR="00466E0C">
        <w:rPr>
          <w:rFonts w:ascii="Times New Roman" w:eastAsiaTheme="minorEastAsia" w:hAnsi="Times New Roman" w:cs="Times New Roman"/>
        </w:rPr>
        <w:t xml:space="preserve">Rebalancing frequency </w:t>
      </w:r>
      <w:r w:rsidR="00196BDB">
        <w:rPr>
          <w:rFonts w:ascii="Times New Roman" w:eastAsiaTheme="minorEastAsia" w:hAnsi="Times New Roman" w:cs="Times New Roman"/>
        </w:rPr>
        <w:t>varies</w:t>
      </w:r>
      <w:r w:rsidR="00466E0C">
        <w:rPr>
          <w:rFonts w:ascii="Times New Roman" w:eastAsiaTheme="minorEastAsia" w:hAnsi="Times New Roman" w:cs="Times New Roman"/>
        </w:rPr>
        <w:t xml:space="preserve"> by strategy to reflect different signal persistence and implementation constraints. Both Clenow and </w:t>
      </w:r>
      <w:r w:rsidR="00882173">
        <w:rPr>
          <w:rFonts w:ascii="Times New Roman" w:eastAsiaTheme="minorEastAsia" w:hAnsi="Times New Roman" w:cs="Times New Roman"/>
        </w:rPr>
        <w:t>ML</w:t>
      </w:r>
      <w:r w:rsidR="00466E0C">
        <w:rPr>
          <w:rFonts w:ascii="Times New Roman" w:eastAsiaTheme="minorEastAsia" w:hAnsi="Times New Roman" w:cs="Times New Roman"/>
        </w:rPr>
        <w:t xml:space="preserve"> rebalanced monthly on month-end dates.</w:t>
      </w:r>
    </w:p>
    <w:p w14:paraId="62A02D2F" w14:textId="01F3D04D" w:rsidR="003C7297" w:rsidRPr="002975EB" w:rsidRDefault="00400A75" w:rsidP="002975EB">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Checkpoint A calculated Sharpe ratios assuming a zero risk-free rate, effectively measuring return per unit of total risk without adjusting for the opportunity of cash. Checkpoint B adopts a 4% annual risk-free rate, representing the approximate yield on 3-month Treasury bills over the timespan of the research. This adjustment reduces reported Sharpe ratios proportionally across all strategies but provides more accurate comparison to academic benchmarks, where Sharpe ratios above 1.0 are considered excellent after subtracting the risk-free rate. For the SPY benchmark, this adjustment is substantial. Gross Sharpe ratio of 0.64 declines to net Sharpe ratio of 0.4</w:t>
      </w:r>
      <w:r w:rsidR="00895ABE">
        <w:rPr>
          <w:rFonts w:ascii="Times New Roman" w:eastAsiaTheme="minorEastAsia" w:hAnsi="Times New Roman" w:cs="Times New Roman"/>
        </w:rPr>
        <w:t>1</w:t>
      </w:r>
      <w:r>
        <w:rPr>
          <w:rFonts w:ascii="Times New Roman" w:eastAsiaTheme="minorEastAsia" w:hAnsi="Times New Roman" w:cs="Times New Roman"/>
        </w:rPr>
        <w:t xml:space="preserve"> after subtracting 4% risk-free rate from the 11.</w:t>
      </w:r>
      <w:r w:rsidR="00895ABE">
        <w:rPr>
          <w:rFonts w:ascii="Times New Roman" w:eastAsiaTheme="minorEastAsia" w:hAnsi="Times New Roman" w:cs="Times New Roman"/>
        </w:rPr>
        <w:t>49</w:t>
      </w:r>
      <w:r>
        <w:rPr>
          <w:rFonts w:ascii="Times New Roman" w:eastAsiaTheme="minorEastAsia" w:hAnsi="Times New Roman" w:cs="Times New Roman"/>
        </w:rPr>
        <w:t xml:space="preserve">% annualized return. </w:t>
      </w:r>
    </w:p>
    <w:p w14:paraId="6DC8C732" w14:textId="32B30B7D" w:rsidR="00914D39" w:rsidRDefault="00914D39" w:rsidP="00B01F72">
      <w:pPr>
        <w:spacing w:line="480" w:lineRule="auto"/>
        <w:rPr>
          <w:rFonts w:ascii="Times New Roman" w:eastAsiaTheme="minorEastAsia" w:hAnsi="Times New Roman" w:cs="Times New Roman"/>
        </w:rPr>
      </w:pPr>
      <w:r>
        <w:rPr>
          <w:rFonts w:ascii="Times New Roman" w:eastAsiaTheme="minorEastAsia" w:hAnsi="Times New Roman" w:cs="Times New Roman"/>
        </w:rPr>
        <w:tab/>
        <w:t xml:space="preserve">CAPM provides the framework for calculating alpha and beta relative to the SPY benchmark. CAPM </w:t>
      </w:r>
      <w:r w:rsidR="000B4334">
        <w:rPr>
          <w:rFonts w:ascii="Times New Roman" w:eastAsiaTheme="minorEastAsia" w:hAnsi="Times New Roman" w:cs="Times New Roman"/>
        </w:rPr>
        <w:t xml:space="preserve">posits that expected return equals the risk-free rate plus beta times the market risk premium. Beta is calculated as the covariance of portfolio returns with benchmark returns divided by the variance of benchmark returns. Alpha represents the intercept term when regressing portfolio returns on benchmark returns, capturing excess </w:t>
      </w:r>
      <w:r w:rsidR="00A82D53">
        <w:rPr>
          <w:rFonts w:ascii="Times New Roman" w:eastAsiaTheme="minorEastAsia" w:hAnsi="Times New Roman" w:cs="Times New Roman"/>
        </w:rPr>
        <w:t>returns</w:t>
      </w:r>
      <w:r w:rsidR="000B4334">
        <w:rPr>
          <w:rFonts w:ascii="Times New Roman" w:eastAsiaTheme="minorEastAsia" w:hAnsi="Times New Roman" w:cs="Times New Roman"/>
        </w:rPr>
        <w:t xml:space="preserve"> beyond what beta predicts. Positive alpha indicates that the portfolio outperforms its risk-adjusted benchmark, while negative alpha suggests underperformance. For Checkpoint B, alpha quantifies whether momentum-based sleeve allocation adds value beyond simple leveraging the S&amp;P 500. </w:t>
      </w:r>
    </w:p>
    <w:p w14:paraId="2558888A" w14:textId="3AD5F112" w:rsidR="004E6014" w:rsidRDefault="00C8649B" w:rsidP="004E6014">
      <w:pPr>
        <w:spacing w:line="480" w:lineRule="auto"/>
        <w:rPr>
          <w:rFonts w:ascii="Times New Roman" w:eastAsiaTheme="minorEastAsia" w:hAnsi="Times New Roman" w:cs="Times New Roman"/>
        </w:rPr>
      </w:pPr>
      <w:r>
        <w:rPr>
          <w:rFonts w:ascii="Times New Roman" w:eastAsiaTheme="minorEastAsia" w:hAnsi="Times New Roman" w:cs="Times New Roman"/>
        </w:rPr>
        <w:lastRenderedPageBreak/>
        <w:tab/>
      </w:r>
      <w:r w:rsidR="00C24EFB">
        <w:rPr>
          <w:rFonts w:ascii="Times New Roman" w:eastAsiaTheme="minorEastAsia" w:hAnsi="Times New Roman" w:cs="Times New Roman"/>
        </w:rPr>
        <w:t xml:space="preserve">Monte Carlo simulation was expanded for this paper beyond what was done in Programming Assignment 2 by utilizing dividend-adjusted returns, explicit fee modeling, and SPY benchmark comparison. </w:t>
      </w:r>
      <w:r w:rsidR="008836ED">
        <w:rPr>
          <w:rFonts w:ascii="Times New Roman" w:eastAsiaTheme="minorEastAsia" w:hAnsi="Times New Roman" w:cs="Times New Roman"/>
        </w:rPr>
        <w:t>Unlike</w:t>
      </w:r>
      <w:r w:rsidR="00C175BC">
        <w:rPr>
          <w:rFonts w:ascii="Times New Roman" w:eastAsiaTheme="minorEastAsia" w:hAnsi="Times New Roman" w:cs="Times New Roman"/>
        </w:rPr>
        <w:t xml:space="preserve"> Programming Assignment 2, I ran 1</w:t>
      </w:r>
      <w:r w:rsidR="00F64052">
        <w:rPr>
          <w:rFonts w:ascii="Times New Roman" w:eastAsiaTheme="minorEastAsia" w:hAnsi="Times New Roman" w:cs="Times New Roman"/>
        </w:rPr>
        <w:t>0</w:t>
      </w:r>
      <w:r w:rsidR="00C175BC">
        <w:rPr>
          <w:rFonts w:ascii="Times New Roman" w:eastAsiaTheme="minorEastAsia" w:hAnsi="Times New Roman" w:cs="Times New Roman"/>
        </w:rPr>
        <w:t>,000 iterations</w:t>
      </w:r>
      <w:r w:rsidR="00544C70">
        <w:rPr>
          <w:rFonts w:ascii="Times New Roman" w:eastAsiaTheme="minorEastAsia" w:hAnsi="Times New Roman" w:cs="Times New Roman"/>
        </w:rPr>
        <w:t xml:space="preserve"> to generate random sleeve weights. For long-only portfolios, weights are constrained [0, 1]</w:t>
      </w:r>
      <w:r w:rsidR="0055097A">
        <w:rPr>
          <w:rFonts w:ascii="Times New Roman" w:eastAsiaTheme="minorEastAsia" w:hAnsi="Times New Roman" w:cs="Times New Roman"/>
        </w:rPr>
        <w:t xml:space="preserve">. For shorts-allowed portfolios, weights are drawn from uniform [-1, 1] distribution, then normalized to sum to 1.0, permitting up to 100% short exposure in any sleeve while maintaining net 100% long total exposure. This normalization ensures that shorts-allowed portfolios use the same total capital as long-only portfolios. For each portfolio, the simulation calculated expected return, portfolio volatility, management fee deduction, transaction cost deduction, net return, and Sharpe </w:t>
      </w:r>
      <w:r w:rsidR="004E6014">
        <w:rPr>
          <w:rFonts w:ascii="Times New Roman" w:eastAsiaTheme="minorEastAsia" w:hAnsi="Times New Roman" w:cs="Times New Roman"/>
        </w:rPr>
        <w:t>ratio. The optimal portfolio is identified as the allocation with maximum Sharpe ratio among all 1</w:t>
      </w:r>
      <w:r w:rsidR="00F64052">
        <w:rPr>
          <w:rFonts w:ascii="Times New Roman" w:eastAsiaTheme="minorEastAsia" w:hAnsi="Times New Roman" w:cs="Times New Roman"/>
        </w:rPr>
        <w:t>0</w:t>
      </w:r>
      <w:r w:rsidR="004E6014">
        <w:rPr>
          <w:rFonts w:ascii="Times New Roman" w:eastAsiaTheme="minorEastAsia" w:hAnsi="Times New Roman" w:cs="Times New Roman"/>
        </w:rPr>
        <w:t xml:space="preserve">,000 simulations. </w:t>
      </w:r>
      <w:r w:rsidR="00894D5A">
        <w:rPr>
          <w:rFonts w:ascii="Times New Roman" w:eastAsiaTheme="minorEastAsia" w:hAnsi="Times New Roman" w:cs="Times New Roman"/>
        </w:rPr>
        <w:t xml:space="preserve">I included Checkpoint A’s equal-weight allocation in the analysis and plotted it on the efficient frontier to visualize how far the original allocation deviates from the optimal. </w:t>
      </w:r>
      <w:r w:rsidR="00497120">
        <w:rPr>
          <w:rFonts w:ascii="Times New Roman" w:eastAsiaTheme="minorEastAsia" w:hAnsi="Times New Roman" w:cs="Times New Roman"/>
        </w:rPr>
        <w:t>The SPY buy-and-hold benchmark provides passive performance reference as well.</w:t>
      </w:r>
    </w:p>
    <w:p w14:paraId="48C161D1" w14:textId="084400C4" w:rsidR="00BD476C" w:rsidRDefault="00330876" w:rsidP="00B01F72">
      <w:pPr>
        <w:spacing w:line="480" w:lineRule="auto"/>
        <w:rPr>
          <w:rFonts w:ascii="Times New Roman" w:eastAsiaTheme="minorEastAsia" w:hAnsi="Times New Roman" w:cs="Times New Roman"/>
        </w:rPr>
      </w:pPr>
      <w:r>
        <w:rPr>
          <w:rFonts w:ascii="Times New Roman" w:eastAsiaTheme="minorEastAsia" w:hAnsi="Times New Roman" w:cs="Times New Roman"/>
        </w:rPr>
        <w:tab/>
        <w:t xml:space="preserve">The machine learning strategy implemented </w:t>
      </w:r>
      <w:r w:rsidR="0066685E">
        <w:rPr>
          <w:rFonts w:ascii="Times New Roman" w:eastAsiaTheme="minorEastAsia" w:hAnsi="Times New Roman" w:cs="Times New Roman"/>
        </w:rPr>
        <w:t>rigorous out-of-sample validation through walk-forward methodology, dividing the 10-year sample into 71 monthly testing periods. For each period, Ridge regression models were trained on rolling 3-year windows of historical data to predict forward 21-day returns. The feature set included six technical indicators per security</w:t>
      </w:r>
      <w:r w:rsidR="00513FAB">
        <w:rPr>
          <w:rFonts w:ascii="Times New Roman" w:eastAsiaTheme="minorEastAsia" w:hAnsi="Times New Roman" w:cs="Times New Roman"/>
        </w:rPr>
        <w:t>: 20-day, 60-day, and 120-day price momentum; 20-day and 60-day return volatility; and the 20-day to 60-day moving average ratio. Additionally, three market-wide features were calculated from SPY returns</w:t>
      </w:r>
      <w:r w:rsidR="008C0193">
        <w:rPr>
          <w:rFonts w:ascii="Times New Roman" w:eastAsiaTheme="minorEastAsia" w:hAnsi="Times New Roman" w:cs="Times New Roman"/>
        </w:rPr>
        <w:t xml:space="preserve">, 20 and 60-day momentum and 20-day volatility. This produced 129 total features. The walk-forward procedure operated </w:t>
      </w:r>
      <w:r w:rsidR="000016C2">
        <w:rPr>
          <w:rFonts w:ascii="Times New Roman" w:eastAsiaTheme="minorEastAsia" w:hAnsi="Times New Roman" w:cs="Times New Roman"/>
        </w:rPr>
        <w:t>by training the Ridge regression model</w:t>
      </w:r>
      <w:r w:rsidR="00D62DF2">
        <w:rPr>
          <w:rFonts w:ascii="Times New Roman" w:eastAsiaTheme="minorEastAsia" w:hAnsi="Times New Roman" w:cs="Times New Roman"/>
        </w:rPr>
        <w:t xml:space="preserve"> </w:t>
      </w:r>
      <w:r w:rsidR="003D5B87">
        <w:rPr>
          <w:rFonts w:ascii="Times New Roman" w:eastAsiaTheme="minorEastAsia" w:hAnsi="Times New Roman" w:cs="Times New Roman"/>
        </w:rPr>
        <w:t>on</w:t>
      </w:r>
      <w:r w:rsidR="00BF79EB">
        <w:rPr>
          <w:rFonts w:ascii="Times New Roman" w:eastAsiaTheme="minorEastAsia" w:hAnsi="Times New Roman" w:cs="Times New Roman"/>
        </w:rPr>
        <w:t xml:space="preserve"> </w:t>
      </w:r>
      <w:r w:rsidR="00D62DF2">
        <w:rPr>
          <w:rFonts w:ascii="Times New Roman" w:eastAsiaTheme="minorEastAsia" w:hAnsi="Times New Roman" w:cs="Times New Roman"/>
        </w:rPr>
        <w:t xml:space="preserve">756 days of historical feature data, standardizing features to ensure compatible magnitudes across momentum and volatility metrics, </w:t>
      </w:r>
      <w:r w:rsidR="008B3131">
        <w:rPr>
          <w:rFonts w:ascii="Times New Roman" w:eastAsiaTheme="minorEastAsia" w:hAnsi="Times New Roman" w:cs="Times New Roman"/>
        </w:rPr>
        <w:t xml:space="preserve">predicting forward 21-day returns for all 21 securities at </w:t>
      </w:r>
      <w:r w:rsidR="008B3131">
        <w:rPr>
          <w:rFonts w:ascii="Times New Roman" w:eastAsiaTheme="minorEastAsia" w:hAnsi="Times New Roman" w:cs="Times New Roman"/>
        </w:rPr>
        <w:lastRenderedPageBreak/>
        <w:t>month-end</w:t>
      </w:r>
      <w:r w:rsidR="003D5B87">
        <w:rPr>
          <w:rFonts w:ascii="Times New Roman" w:eastAsiaTheme="minorEastAsia" w:hAnsi="Times New Roman" w:cs="Times New Roman"/>
        </w:rPr>
        <w:t xml:space="preserve"> and </w:t>
      </w:r>
      <w:r w:rsidR="008B3131">
        <w:rPr>
          <w:rFonts w:ascii="Times New Roman" w:eastAsiaTheme="minorEastAsia" w:hAnsi="Times New Roman" w:cs="Times New Roman"/>
        </w:rPr>
        <w:t>selecting the top 10 securities by predicted return and equal weight</w:t>
      </w:r>
      <w:r w:rsidR="009550B6">
        <w:rPr>
          <w:rFonts w:ascii="Times New Roman" w:eastAsiaTheme="minorEastAsia" w:hAnsi="Times New Roman" w:cs="Times New Roman"/>
        </w:rPr>
        <w:t xml:space="preserve"> allocation</w:t>
      </w:r>
      <w:r w:rsidR="003D5B87">
        <w:rPr>
          <w:rFonts w:ascii="Times New Roman" w:eastAsiaTheme="minorEastAsia" w:hAnsi="Times New Roman" w:cs="Times New Roman"/>
        </w:rPr>
        <w:t>. Additionally, the model held</w:t>
      </w:r>
      <w:r w:rsidR="008B3131">
        <w:rPr>
          <w:rFonts w:ascii="Times New Roman" w:eastAsiaTheme="minorEastAsia" w:hAnsi="Times New Roman" w:cs="Times New Roman"/>
        </w:rPr>
        <w:t xml:space="preserve"> positions for 21 trading days while calculating realized returns and transaction costs, then roll</w:t>
      </w:r>
      <w:r w:rsidR="003D5B87">
        <w:rPr>
          <w:rFonts w:ascii="Times New Roman" w:eastAsiaTheme="minorEastAsia" w:hAnsi="Times New Roman" w:cs="Times New Roman"/>
        </w:rPr>
        <w:t>ed</w:t>
      </w:r>
      <w:r w:rsidR="008B3131">
        <w:rPr>
          <w:rFonts w:ascii="Times New Roman" w:eastAsiaTheme="minorEastAsia" w:hAnsi="Times New Roman" w:cs="Times New Roman"/>
        </w:rPr>
        <w:t xml:space="preserve"> forward one month and retrain</w:t>
      </w:r>
      <w:r w:rsidR="003D5B87">
        <w:rPr>
          <w:rFonts w:ascii="Times New Roman" w:eastAsiaTheme="minorEastAsia" w:hAnsi="Times New Roman" w:cs="Times New Roman"/>
        </w:rPr>
        <w:t>ed</w:t>
      </w:r>
      <w:r w:rsidR="008B3131">
        <w:rPr>
          <w:rFonts w:ascii="Times New Roman" w:eastAsiaTheme="minorEastAsia" w:hAnsi="Times New Roman" w:cs="Times New Roman"/>
        </w:rPr>
        <w:t xml:space="preserve"> the model on </w:t>
      </w:r>
      <w:r w:rsidR="009550B6">
        <w:rPr>
          <w:rFonts w:ascii="Times New Roman" w:eastAsiaTheme="minorEastAsia" w:hAnsi="Times New Roman" w:cs="Times New Roman"/>
        </w:rPr>
        <w:t xml:space="preserve">the </w:t>
      </w:r>
      <w:r w:rsidR="008B3131">
        <w:rPr>
          <w:rFonts w:ascii="Times New Roman" w:eastAsiaTheme="minorEastAsia" w:hAnsi="Times New Roman" w:cs="Times New Roman"/>
        </w:rPr>
        <w:t>uploaded data.</w:t>
      </w:r>
      <w:r w:rsidR="00BF79EB">
        <w:rPr>
          <w:rFonts w:ascii="Times New Roman" w:eastAsiaTheme="minorEastAsia" w:hAnsi="Times New Roman" w:cs="Times New Roman"/>
        </w:rPr>
        <w:t xml:space="preserve"> This process generated 71 independent out-of-sample predictions over the backtest period, with each model seeing only data available at the time of prediction. The training approach ensured that models incorporated all historical information without introducing look-ahead bias, providing realistic estimates of strategy performance in live trading.</w:t>
      </w:r>
    </w:p>
    <w:p w14:paraId="46B2B67D" w14:textId="77777777" w:rsidR="00AA273D" w:rsidRDefault="006D4025" w:rsidP="00AA273D">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The Clenow momentum strategy </w:t>
      </w:r>
      <w:r w:rsidR="00915D2C">
        <w:rPr>
          <w:rFonts w:ascii="Times New Roman" w:eastAsiaTheme="minorEastAsia" w:hAnsi="Times New Roman" w:cs="Times New Roman"/>
        </w:rPr>
        <w:t>follows a dual-filter approach</w:t>
      </w:r>
      <w:r w:rsidR="007901BF">
        <w:rPr>
          <w:rFonts w:ascii="Times New Roman" w:eastAsiaTheme="minorEastAsia" w:hAnsi="Times New Roman" w:cs="Times New Roman"/>
        </w:rPr>
        <w:t xml:space="preserve"> combining intermediate-term momentum with long-term trend confirmation.</w:t>
      </w:r>
      <w:r w:rsidR="00915D2C">
        <w:rPr>
          <w:rFonts w:ascii="Times New Roman" w:eastAsiaTheme="minorEastAsia" w:hAnsi="Times New Roman" w:cs="Times New Roman"/>
        </w:rPr>
        <w:t xml:space="preserve"> First, 90-day momentum </w:t>
      </w:r>
      <w:r w:rsidR="007901BF">
        <w:rPr>
          <w:rFonts w:ascii="Times New Roman" w:eastAsiaTheme="minorEastAsia" w:hAnsi="Times New Roman" w:cs="Times New Roman"/>
        </w:rPr>
        <w:t>is calculated as the simple percentage price change over the prior 90 trading days, capturing the intermediate-term price trend.</w:t>
      </w:r>
      <w:r w:rsidR="004F7A02">
        <w:rPr>
          <w:rFonts w:ascii="Times New Roman" w:eastAsiaTheme="minorEastAsia" w:hAnsi="Times New Roman" w:cs="Times New Roman"/>
        </w:rPr>
        <w:t xml:space="preserve"> Second, a 200-day moving average filter excludes securities trading below their long-term trend, reducing false momentum signals during structural downtrends. Each month-end, the strategy ranks all 21 securities that pass the moving average filter by their 90-day momentum score and allocates equal weight to the top 10 securities by momentum rank. This systematic approach concentrates capital in securities exhibiting both strong recent performance and confirmation </w:t>
      </w:r>
      <w:r w:rsidR="00AA273D">
        <w:rPr>
          <w:rFonts w:ascii="Times New Roman" w:eastAsiaTheme="minorEastAsia" w:hAnsi="Times New Roman" w:cs="Times New Roman"/>
        </w:rPr>
        <w:t>of long-term uptrend continuation. Monthly rebalancing at month-end dates balances the persistence of momentum signals against transaction cost drag. The dual-filter design reflects the empirical observation that momentum strategies perform best when combined with trend-following filters, as pure momentum can suffer during trend reversals when high-momentum securities experience sharp corrections.</w:t>
      </w:r>
    </w:p>
    <w:p w14:paraId="26AE703F" w14:textId="3523C68F" w:rsidR="00793076" w:rsidRDefault="00A240CB" w:rsidP="00AA273D">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A mean reversion strategy was tested using z-score thresholds on rolling 20-day price deviations from the mean, targeting oversold securities expected to revert to fair value. However, this approach generated zero trading signals over the entire 10-year sample period. The failure of </w:t>
      </w:r>
      <w:r>
        <w:rPr>
          <w:rFonts w:ascii="Times New Roman" w:eastAsiaTheme="minorEastAsia" w:hAnsi="Times New Roman" w:cs="Times New Roman"/>
        </w:rPr>
        <w:lastRenderedPageBreak/>
        <w:t xml:space="preserve">mean reversion confirms that transformative technology stocks in the ATTF universe exhibit persistent momentum and trending behavior rather than mean-reverting price dynamics. This empirical result validates the methodological focus on momentum-based strategies rather than contrarian approaches, as the innovation-driven securities in the </w:t>
      </w:r>
      <w:r w:rsidR="00650B9F">
        <w:rPr>
          <w:rFonts w:ascii="Times New Roman" w:eastAsiaTheme="minorEastAsia" w:hAnsi="Times New Roman" w:cs="Times New Roman"/>
        </w:rPr>
        <w:t>portfolio tend to sustain directional moves for extended periods rather than oscillating around stable means.</w:t>
      </w:r>
    </w:p>
    <w:p w14:paraId="29ACFD9F" w14:textId="3740D391" w:rsidR="00E81F10" w:rsidRPr="006E3B76" w:rsidRDefault="00D022DD" w:rsidP="00080370">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The </w:t>
      </w:r>
      <w:r w:rsidR="000C04B1">
        <w:rPr>
          <w:rFonts w:ascii="Times New Roman" w:eastAsiaTheme="minorEastAsia" w:hAnsi="Times New Roman" w:cs="Times New Roman"/>
        </w:rPr>
        <w:t>HMM</w:t>
      </w:r>
      <w:r>
        <w:rPr>
          <w:rFonts w:ascii="Times New Roman" w:eastAsiaTheme="minorEastAsia" w:hAnsi="Times New Roman" w:cs="Times New Roman"/>
        </w:rPr>
        <w:t xml:space="preserve"> regime detection </w:t>
      </w:r>
      <w:r w:rsidR="00702307">
        <w:rPr>
          <w:rFonts w:ascii="Times New Roman" w:eastAsiaTheme="minorEastAsia" w:hAnsi="Times New Roman" w:cs="Times New Roman"/>
        </w:rPr>
        <w:t>framework was</w:t>
      </w:r>
      <w:r>
        <w:rPr>
          <w:rFonts w:ascii="Times New Roman" w:eastAsiaTheme="minorEastAsia" w:hAnsi="Times New Roman" w:cs="Times New Roman"/>
        </w:rPr>
        <w:t xml:space="preserve"> implemented </w:t>
      </w:r>
      <w:r w:rsidR="00702307">
        <w:rPr>
          <w:rFonts w:ascii="Times New Roman" w:eastAsiaTheme="minorEastAsia" w:hAnsi="Times New Roman" w:cs="Times New Roman"/>
        </w:rPr>
        <w:t xml:space="preserve">for </w:t>
      </w:r>
      <w:r w:rsidR="00CF150E">
        <w:rPr>
          <w:rFonts w:ascii="Times New Roman" w:eastAsiaTheme="minorEastAsia" w:hAnsi="Times New Roman" w:cs="Times New Roman"/>
        </w:rPr>
        <w:t>historical regime allocation</w:t>
      </w:r>
      <w:r w:rsidR="00605379">
        <w:rPr>
          <w:rFonts w:ascii="Times New Roman" w:eastAsiaTheme="minorEastAsia" w:hAnsi="Times New Roman" w:cs="Times New Roman"/>
        </w:rPr>
        <w:t xml:space="preserve"> performance attribution rather than as a real-time strategy. </w:t>
      </w:r>
      <w:r w:rsidR="00931399">
        <w:rPr>
          <w:rFonts w:ascii="Times New Roman" w:eastAsiaTheme="minorEastAsia" w:hAnsi="Times New Roman" w:cs="Times New Roman"/>
        </w:rPr>
        <w:t>HHM</w:t>
      </w:r>
      <w:r w:rsidR="00605379">
        <w:rPr>
          <w:rFonts w:ascii="Times New Roman" w:eastAsiaTheme="minorEastAsia" w:hAnsi="Times New Roman" w:cs="Times New Roman"/>
        </w:rPr>
        <w:t xml:space="preserve"> was trained on SPY daily log returns over the full 10-year sample to identify bull, sideways, and bear market regimes based on return and volatility characteristics.</w:t>
      </w:r>
      <w:r w:rsidR="006C36AA">
        <w:rPr>
          <w:rFonts w:ascii="Times New Roman" w:eastAsiaTheme="minorEastAsia" w:hAnsi="Times New Roman" w:cs="Times New Roman"/>
        </w:rPr>
        <w:t xml:space="preserve"> The model estimates transition probabilities between states and state-dependent return distributions, then applies the Viterbi algorithm to decode the most likely regime sequence across the entire sample. Regime identification enables decomposition of strategy performance by market environment, revealing whether returns concentrate in specific regimes or remain consistent across bull, bear, and sideways markets. Critically, this HMM was trained on the full sample </w:t>
      </w:r>
      <w:r w:rsidR="00452107">
        <w:rPr>
          <w:rFonts w:ascii="Times New Roman" w:eastAsiaTheme="minorEastAsia" w:hAnsi="Times New Roman" w:cs="Times New Roman"/>
        </w:rPr>
        <w:t>historical regime allocation</w:t>
      </w:r>
      <w:r w:rsidR="006C36AA">
        <w:rPr>
          <w:rFonts w:ascii="Times New Roman" w:eastAsiaTheme="minorEastAsia" w:hAnsi="Times New Roman" w:cs="Times New Roman"/>
        </w:rPr>
        <w:t xml:space="preserve">, introducing look-ahead bias not present in the walk-forward </w:t>
      </w:r>
      <w:r w:rsidR="00DC3B1B">
        <w:rPr>
          <w:rFonts w:ascii="Times New Roman" w:eastAsiaTheme="minorEastAsia" w:hAnsi="Times New Roman" w:cs="Times New Roman"/>
        </w:rPr>
        <w:t>ML</w:t>
      </w:r>
      <w:r w:rsidR="006C36AA">
        <w:rPr>
          <w:rFonts w:ascii="Times New Roman" w:eastAsiaTheme="minorEastAsia" w:hAnsi="Times New Roman" w:cs="Times New Roman"/>
        </w:rPr>
        <w:t xml:space="preserve"> strategy. For deployment in real-time trading, HMM parameters would require re-estimation on expanding windows, potentially degrading regime detection accuracy.</w:t>
      </w:r>
      <w:r w:rsidR="005F6D09">
        <w:rPr>
          <w:rFonts w:ascii="Times New Roman" w:eastAsiaTheme="minorEastAsia" w:hAnsi="Times New Roman" w:cs="Times New Roman"/>
        </w:rPr>
        <w:t xml:space="preserve"> </w:t>
      </w:r>
      <w:r w:rsidR="00E81F10">
        <w:rPr>
          <w:rFonts w:ascii="Times New Roman" w:eastAsiaTheme="minorEastAsia" w:hAnsi="Times New Roman" w:cs="Times New Roman"/>
        </w:rPr>
        <w:t>All strategies were evaluated using consistent metrics over the identical timeframe</w:t>
      </w:r>
      <w:r w:rsidR="00683B4F">
        <w:rPr>
          <w:rFonts w:ascii="Times New Roman" w:eastAsiaTheme="minorEastAsia" w:hAnsi="Times New Roman" w:cs="Times New Roman"/>
        </w:rPr>
        <w:t xml:space="preserve"> such as CAGR, volatility, Sharpe ratio, maximum drawdown, alpha vs. SPY, and beta vs. SPY.</w:t>
      </w:r>
    </w:p>
    <w:p w14:paraId="359DC645" w14:textId="77777777" w:rsidR="009B2BBF" w:rsidRDefault="009B2BBF" w:rsidP="009B2BBF">
      <w:pPr>
        <w:pStyle w:val="NormalWeb"/>
        <w:spacing w:line="480" w:lineRule="auto"/>
        <w:rPr>
          <w:b/>
          <w:bCs/>
          <w:sz w:val="32"/>
          <w:szCs w:val="32"/>
        </w:rPr>
      </w:pPr>
      <w:r>
        <w:rPr>
          <w:b/>
          <w:bCs/>
          <w:sz w:val="32"/>
          <w:szCs w:val="32"/>
        </w:rPr>
        <w:t>Results</w:t>
      </w:r>
    </w:p>
    <w:p w14:paraId="23DD269F" w14:textId="4F9F27AE" w:rsidR="0016470A" w:rsidRDefault="009B2BBF" w:rsidP="005A6B92">
      <w:pPr>
        <w:pStyle w:val="NormalWeb"/>
        <w:spacing w:line="480" w:lineRule="auto"/>
      </w:pPr>
      <w:r>
        <w:rPr>
          <w:b/>
          <w:bCs/>
          <w:sz w:val="32"/>
          <w:szCs w:val="32"/>
        </w:rPr>
        <w:tab/>
      </w:r>
      <w:r w:rsidR="006B7DFD">
        <w:t xml:space="preserve">Across strategies, the machine-learning walk-forward portfolio delivered the strongest net performance over the </w:t>
      </w:r>
      <w:r w:rsidR="00B340B4">
        <w:t>period</w:t>
      </w:r>
      <w:r w:rsidR="006B7DFD">
        <w:t xml:space="preserve">, </w:t>
      </w:r>
      <w:r w:rsidR="008845B9">
        <w:t>outperforming</w:t>
      </w:r>
      <w:r w:rsidR="00752F7A">
        <w:t xml:space="preserve"> Monte Carlo optimized portfolios, momentum strategies, and passive benchmarks (Table 1). After accounting for 1.5% annual management </w:t>
      </w:r>
      <w:r w:rsidR="00752F7A">
        <w:lastRenderedPageBreak/>
        <w:t xml:space="preserve">fees and 15 basis point transaction costs, the </w:t>
      </w:r>
      <w:r w:rsidR="00DC3B1B">
        <w:t>ML</w:t>
      </w:r>
      <w:r w:rsidR="00752F7A">
        <w:t xml:space="preserve"> strategy achieved 109.74% </w:t>
      </w:r>
      <w:r w:rsidR="00650914">
        <w:t xml:space="preserve">annualized return with a 2.191 Sharpe ratio, representing 2.19 standard deviations of excess return above the 4% risk-free rate per unit of volatility. This performance dominated all alternatives despite a -26.11% fee drag from gross returns, demonstrating genuine alpha generation </w:t>
      </w:r>
      <w:r w:rsidR="0016470A">
        <w:t xml:space="preserve">rather than leverage or concentration effects. </w:t>
      </w:r>
    </w:p>
    <w:p w14:paraId="1046CDB0" w14:textId="31CBFCE1" w:rsidR="0069015B" w:rsidRDefault="0016470A" w:rsidP="005A6B92">
      <w:pPr>
        <w:pStyle w:val="NormalWeb"/>
        <w:spacing w:line="480" w:lineRule="auto"/>
      </w:pPr>
      <w:r>
        <w:tab/>
        <w:t xml:space="preserve">Monte Carlo simulation across 10,000 random portfolio allocations identified the efficient frontier </w:t>
      </w:r>
      <w:r w:rsidR="00653114">
        <w:t xml:space="preserve">for </w:t>
      </w:r>
      <w:r>
        <w:t>both long-only and shorts-allowed strategies (Figure 1).</w:t>
      </w:r>
      <w:r w:rsidR="00653114">
        <w:t xml:space="preserve"> The long-only maximum Sharpe portfolio achieved 30.51% CAGR with 27.32% volatility and 0.970 Sharpe ratio, heavily concentrated in the AI Infrastructure sleeve at 92.4% weight. This allocation represented a 9.26% annual improvement over Checkpoint A’s 40</w:t>
      </w:r>
      <w:r w:rsidR="004C7343">
        <w:t>-30-20-10 baseline allocation. The optimal portfolio’s concentration in AI Infrast</w:t>
      </w:r>
      <w:r w:rsidR="001D3E77">
        <w:t>ructure reflects the sleeve’s dominant risk-adjusted performance over the sample period, where AI-exposed securities sustained multi-year momentum trends with manageable drawdowns.</w:t>
      </w:r>
    </w:p>
    <w:p w14:paraId="10EDF2C2" w14:textId="15F041A7" w:rsidR="001D3E77" w:rsidRDefault="001D3E77" w:rsidP="005A6B92">
      <w:pPr>
        <w:pStyle w:val="NormalWeb"/>
        <w:spacing w:line="480" w:lineRule="auto"/>
      </w:pPr>
      <w:r>
        <w:tab/>
        <w:t>When short positions were permitted, the efficient frontier expanded modestly</w:t>
      </w:r>
      <w:r w:rsidR="00064D25">
        <w:t>. The shorts-allowed optimum reached 32.30% CAGR, 28.25% volatility, and 1.002 Sharpe ratio. This allocation held 98.8% long AI Infrastructure</w:t>
      </w:r>
      <w:r w:rsidR="00227C58">
        <w:t xml:space="preserve"> while shorting Cryptocurrencies and Quantum </w:t>
      </w:r>
      <w:r w:rsidR="009A42A4">
        <w:t>at 1.15x gross leverage</w:t>
      </w:r>
      <w:r w:rsidR="00227C58">
        <w:t xml:space="preserve">. The incremental 1.79% gain from shorts came at the cost of </w:t>
      </w:r>
      <w:r w:rsidR="009A42A4">
        <w:t>increased operational complexity, leverage risk, and short-rebate uncertainty. For practical implementation, the long-only portfolio offers superior risk-adjusted performance without introducing short-</w:t>
      </w:r>
      <w:r w:rsidR="007A54F8">
        <w:t>selling frictions, particularly given that the Sharpe improvement from 0.97 to 1.002 is economically marginal.</w:t>
      </w:r>
    </w:p>
    <w:p w14:paraId="3C19E26A" w14:textId="77777777" w:rsidR="00D56715" w:rsidRPr="005F3434" w:rsidRDefault="00D56715" w:rsidP="00D56715">
      <w:pPr>
        <w:jc w:val="center"/>
        <w:rPr>
          <w:rFonts w:ascii="Times New Roman" w:hAnsi="Times New Roman" w:cs="Times New Roman"/>
          <w:b/>
          <w:bCs/>
          <w:sz w:val="22"/>
          <w:szCs w:val="22"/>
        </w:rPr>
      </w:pPr>
      <w:r w:rsidRPr="005F3434">
        <w:rPr>
          <w:rFonts w:ascii="Times New Roman" w:hAnsi="Times New Roman" w:cs="Times New Roman"/>
          <w:b/>
          <w:bCs/>
          <w:sz w:val="22"/>
          <w:szCs w:val="22"/>
        </w:rPr>
        <w:t>Figure 1: Efficient Frontier</w:t>
      </w:r>
    </w:p>
    <w:p w14:paraId="344DC580" w14:textId="0DE24F65" w:rsidR="00CE3836" w:rsidRPr="00D56715" w:rsidRDefault="00D56715" w:rsidP="00D56715">
      <w:pPr>
        <w:pStyle w:val="NormalWeb"/>
        <w:spacing w:line="480" w:lineRule="auto"/>
        <w:jc w:val="center"/>
        <w:rPr>
          <w:b/>
          <w:bCs/>
          <w:sz w:val="22"/>
          <w:szCs w:val="22"/>
        </w:rPr>
      </w:pPr>
      <w:r w:rsidRPr="005C472E">
        <w:rPr>
          <w:b/>
          <w:bCs/>
          <w:noProof/>
          <w:sz w:val="22"/>
          <w:szCs w:val="22"/>
        </w:rPr>
        <w:lastRenderedPageBreak/>
        <w:drawing>
          <wp:inline distT="0" distB="0" distL="0" distR="0" wp14:anchorId="3E0C91B6" wp14:editId="27F0512A">
            <wp:extent cx="5943600" cy="2658745"/>
            <wp:effectExtent l="0" t="0" r="0" b="8255"/>
            <wp:docPr id="83173784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322453" name="Picture 1" descr="A screenshot of a computer screen&#10;&#10;AI-generated content may be incorrect."/>
                    <pic:cNvPicPr/>
                  </pic:nvPicPr>
                  <pic:blipFill>
                    <a:blip r:embed="rId6"/>
                    <a:stretch>
                      <a:fillRect/>
                    </a:stretch>
                  </pic:blipFill>
                  <pic:spPr>
                    <a:xfrm>
                      <a:off x="0" y="0"/>
                      <a:ext cx="5943600" cy="2658745"/>
                    </a:xfrm>
                    <a:prstGeom prst="rect">
                      <a:avLst/>
                    </a:prstGeom>
                  </pic:spPr>
                </pic:pic>
              </a:graphicData>
            </a:graphic>
          </wp:inline>
        </w:drawing>
      </w:r>
    </w:p>
    <w:p w14:paraId="52128695" w14:textId="2BC1F1EC" w:rsidR="00D56715" w:rsidRDefault="00D56715" w:rsidP="003547A8">
      <w:pPr>
        <w:jc w:val="center"/>
        <w:rPr>
          <w:rFonts w:ascii="Times New Roman" w:hAnsi="Times New Roman" w:cs="Times New Roman"/>
          <w:b/>
          <w:bCs/>
          <w:sz w:val="22"/>
          <w:szCs w:val="22"/>
        </w:rPr>
      </w:pPr>
      <w:r w:rsidRPr="00EE3AE1">
        <w:rPr>
          <w:rFonts w:ascii="Times New Roman" w:hAnsi="Times New Roman" w:cs="Times New Roman"/>
          <w:b/>
          <w:bCs/>
          <w:sz w:val="22"/>
          <w:szCs w:val="22"/>
        </w:rPr>
        <w:t>*Monte Carlo simulation efficient frontier comparison across strategies for long and</w:t>
      </w:r>
      <w:r>
        <w:rPr>
          <w:rFonts w:ascii="Times New Roman" w:hAnsi="Times New Roman" w:cs="Times New Roman"/>
          <w:b/>
          <w:bCs/>
          <w:sz w:val="22"/>
          <w:szCs w:val="22"/>
        </w:rPr>
        <w:t xml:space="preserve"> shorts allowed portfolios*</w:t>
      </w:r>
    </w:p>
    <w:p w14:paraId="01B861D3" w14:textId="5BDF5F5E" w:rsidR="0055408A" w:rsidRPr="00F75F90" w:rsidRDefault="00D56715" w:rsidP="00F75F90">
      <w:pPr>
        <w:spacing w:line="480" w:lineRule="auto"/>
        <w:rPr>
          <w:rFonts w:ascii="Times New Roman" w:hAnsi="Times New Roman" w:cs="Times New Roman"/>
        </w:rPr>
      </w:pPr>
      <w:r>
        <w:rPr>
          <w:rFonts w:ascii="Times New Roman" w:hAnsi="Times New Roman" w:cs="Times New Roman"/>
        </w:rPr>
        <w:tab/>
      </w:r>
      <w:r w:rsidR="0055408A">
        <w:rPr>
          <w:rFonts w:ascii="Times New Roman" w:hAnsi="Times New Roman" w:cs="Times New Roman"/>
        </w:rPr>
        <w:t>The Clenow momentum strategy</w:t>
      </w:r>
      <w:r w:rsidR="00241499">
        <w:rPr>
          <w:rFonts w:ascii="Times New Roman" w:hAnsi="Times New Roman" w:cs="Times New Roman"/>
        </w:rPr>
        <w:t xml:space="preserve"> </w:t>
      </w:r>
      <w:r w:rsidR="0055408A">
        <w:rPr>
          <w:rFonts w:ascii="Times New Roman" w:hAnsi="Times New Roman" w:cs="Times New Roman"/>
        </w:rPr>
        <w:t xml:space="preserve">underperformed </w:t>
      </w:r>
      <w:r w:rsidR="008845B9">
        <w:rPr>
          <w:rFonts w:ascii="Times New Roman" w:hAnsi="Times New Roman" w:cs="Times New Roman"/>
        </w:rPr>
        <w:t>once</w:t>
      </w:r>
      <w:r w:rsidR="0055408A">
        <w:rPr>
          <w:rFonts w:ascii="Times New Roman" w:hAnsi="Times New Roman" w:cs="Times New Roman"/>
        </w:rPr>
        <w:t xml:space="preserve"> realistic costs were applied (Table 1). Gross performance of 25.24% CAGR with 0.563 Sharpe compressed to 17.82% CAGR with 0.377 Sharpe after fees, representing </w:t>
      </w:r>
      <w:r w:rsidR="000563A7">
        <w:rPr>
          <w:rFonts w:ascii="Times New Roman" w:hAnsi="Times New Roman" w:cs="Times New Roman"/>
        </w:rPr>
        <w:t>-</w:t>
      </w:r>
      <w:r w:rsidR="00023BEF">
        <w:rPr>
          <w:rFonts w:ascii="Times New Roman" w:hAnsi="Times New Roman" w:cs="Times New Roman"/>
        </w:rPr>
        <w:t>7.42% annual fee drag. The strategy’s -74.</w:t>
      </w:r>
      <w:r w:rsidR="009F6D5E">
        <w:rPr>
          <w:rFonts w:ascii="Times New Roman" w:hAnsi="Times New Roman" w:cs="Times New Roman"/>
        </w:rPr>
        <w:t>3</w:t>
      </w:r>
      <w:r w:rsidR="00023BEF">
        <w:rPr>
          <w:rFonts w:ascii="Times New Roman" w:hAnsi="Times New Roman" w:cs="Times New Roman"/>
        </w:rPr>
        <w:t xml:space="preserve">5% maximum drawdown during the 2022-2023 tech correction highlights momentum’s vulnerability to sharp trend reversals (Figure 4). Monthly turnover averaging 3.3 position changes per rebalancing date generated transaction costs that eroded the strategy’s </w:t>
      </w:r>
      <w:r w:rsidR="00F75F90">
        <w:rPr>
          <w:rFonts w:ascii="Times New Roman" w:hAnsi="Times New Roman" w:cs="Times New Roman"/>
        </w:rPr>
        <w:t>alpha, leaving net performance below even the equal-weight buy-and-hold benchmark at 18.78% CAGR. The strategy’s 1.154 beta and minimal 0.0315 alpha versus SPY indicate that returns were primarily driven by market exposure rather than genuine strategy selection skill.</w:t>
      </w:r>
    </w:p>
    <w:p w14:paraId="2C1ABA5E" w14:textId="3368AF1C" w:rsidR="003547A8" w:rsidRDefault="003547A8" w:rsidP="003547A8">
      <w:pPr>
        <w:jc w:val="center"/>
        <w:rPr>
          <w:sz w:val="22"/>
          <w:szCs w:val="22"/>
        </w:rPr>
      </w:pPr>
      <w:r w:rsidRPr="003547A8">
        <w:rPr>
          <w:rFonts w:ascii="Times New Roman" w:eastAsia="Times New Roman" w:hAnsi="Times New Roman" w:cs="Times New Roman"/>
          <w:b/>
          <w:bCs/>
          <w:kern w:val="0"/>
          <w:sz w:val="22"/>
          <w:szCs w:val="22"/>
          <w14:ligatures w14:val="none"/>
        </w:rPr>
        <w:t>Table 1: Final Strategy Comparison</w:t>
      </w:r>
    </w:p>
    <w:p w14:paraId="224FA96A" w14:textId="77777777" w:rsidR="00654875" w:rsidRDefault="00197BAD" w:rsidP="003547A8">
      <w:pPr>
        <w:jc w:val="center"/>
        <w:rPr>
          <w:sz w:val="22"/>
          <w:szCs w:val="22"/>
        </w:rPr>
      </w:pPr>
      <w:r w:rsidRPr="00197BAD">
        <w:rPr>
          <w:noProof/>
          <w:sz w:val="22"/>
          <w:szCs w:val="22"/>
        </w:rPr>
        <w:lastRenderedPageBreak/>
        <w:drawing>
          <wp:inline distT="0" distB="0" distL="0" distR="0" wp14:anchorId="216A2860" wp14:editId="6E4D2666">
            <wp:extent cx="5845047" cy="1699407"/>
            <wp:effectExtent l="0" t="0" r="3810" b="0"/>
            <wp:docPr id="623551341" name="Picture 1" descr="A table with numbers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551341" name="Picture 1" descr="A table with numbers and a line&#10;&#10;AI-generated content may be incorrect."/>
                    <pic:cNvPicPr/>
                  </pic:nvPicPr>
                  <pic:blipFill>
                    <a:blip r:embed="rId7"/>
                    <a:stretch>
                      <a:fillRect/>
                    </a:stretch>
                  </pic:blipFill>
                  <pic:spPr>
                    <a:xfrm>
                      <a:off x="0" y="0"/>
                      <a:ext cx="5845047" cy="1699407"/>
                    </a:xfrm>
                    <a:prstGeom prst="rect">
                      <a:avLst/>
                    </a:prstGeom>
                  </pic:spPr>
                </pic:pic>
              </a:graphicData>
            </a:graphic>
          </wp:inline>
        </w:drawing>
      </w:r>
    </w:p>
    <w:p w14:paraId="52575234" w14:textId="77777777" w:rsidR="007C5A3B" w:rsidRDefault="00654875" w:rsidP="003547A8">
      <w:pPr>
        <w:jc w:val="center"/>
        <w:rPr>
          <w:rFonts w:ascii="Times New Roman" w:hAnsi="Times New Roman" w:cs="Times New Roman"/>
          <w:b/>
          <w:bCs/>
          <w:sz w:val="22"/>
          <w:szCs w:val="22"/>
        </w:rPr>
      </w:pPr>
      <w:r w:rsidRPr="00654875">
        <w:rPr>
          <w:rFonts w:ascii="Times New Roman" w:hAnsi="Times New Roman" w:cs="Times New Roman"/>
          <w:b/>
          <w:bCs/>
          <w:sz w:val="22"/>
          <w:szCs w:val="22"/>
        </w:rPr>
        <w:t>*</w:t>
      </w:r>
      <w:r w:rsidR="006C67E3">
        <w:rPr>
          <w:rFonts w:ascii="Times New Roman" w:hAnsi="Times New Roman" w:cs="Times New Roman"/>
          <w:b/>
          <w:bCs/>
          <w:sz w:val="22"/>
          <w:szCs w:val="22"/>
        </w:rPr>
        <w:t xml:space="preserve">Final </w:t>
      </w:r>
      <w:r w:rsidR="007C5A3B">
        <w:rPr>
          <w:rFonts w:ascii="Times New Roman" w:hAnsi="Times New Roman" w:cs="Times New Roman"/>
          <w:b/>
          <w:bCs/>
          <w:sz w:val="22"/>
          <w:szCs w:val="22"/>
        </w:rPr>
        <w:t>Strategy Comparison including Checkpoint A, Equal-Weight, and SPY benchmarks*</w:t>
      </w:r>
    </w:p>
    <w:p w14:paraId="2B6D949A" w14:textId="629DA730" w:rsidR="008276A0" w:rsidRDefault="00DC028B" w:rsidP="00F76BF5">
      <w:pPr>
        <w:spacing w:line="480" w:lineRule="auto"/>
        <w:rPr>
          <w:rFonts w:ascii="Times New Roman" w:hAnsi="Times New Roman" w:cs="Times New Roman"/>
        </w:rPr>
      </w:pPr>
      <w:r>
        <w:rPr>
          <w:rFonts w:ascii="Times New Roman" w:hAnsi="Times New Roman" w:cs="Times New Roman"/>
        </w:rPr>
        <w:tab/>
        <w:t>Machine learning walk-forward validation across 71 monthly testing periods demonstrated consistent out-of-sample predictive power. The Ridge regression models</w:t>
      </w:r>
      <w:r w:rsidR="000D4D9D">
        <w:rPr>
          <w:rFonts w:ascii="Times New Roman" w:hAnsi="Times New Roman" w:cs="Times New Roman"/>
        </w:rPr>
        <w:t xml:space="preserve"> </w:t>
      </w:r>
      <w:r>
        <w:rPr>
          <w:rFonts w:ascii="Times New Roman" w:hAnsi="Times New Roman" w:cs="Times New Roman"/>
        </w:rPr>
        <w:t xml:space="preserve">selected the top 10 securities by predicted forward return each month. Portfolio concentration analysis reveals that </w:t>
      </w:r>
      <w:r w:rsidR="00DC3B1B">
        <w:rPr>
          <w:rFonts w:ascii="Times New Roman" w:hAnsi="Times New Roman" w:cs="Times New Roman"/>
        </w:rPr>
        <w:t>ML</w:t>
      </w:r>
      <w:r>
        <w:rPr>
          <w:rFonts w:ascii="Times New Roman" w:hAnsi="Times New Roman" w:cs="Times New Roman"/>
        </w:rPr>
        <w:t xml:space="preserve"> systematically identified the winning securities</w:t>
      </w:r>
      <w:r w:rsidR="006971A9">
        <w:rPr>
          <w:rFonts w:ascii="Times New Roman" w:hAnsi="Times New Roman" w:cs="Times New Roman"/>
        </w:rPr>
        <w:t xml:space="preserve"> with NVDA appearing in 63% of periods, NBIS in 61%, and MSFT in 58%. This heavy rotation into AI Infrastruc</w:t>
      </w:r>
      <w:r w:rsidR="002D420F">
        <w:rPr>
          <w:rFonts w:ascii="Times New Roman" w:hAnsi="Times New Roman" w:cs="Times New Roman"/>
        </w:rPr>
        <w:t xml:space="preserve">ture securities, which comprised </w:t>
      </w:r>
      <w:r w:rsidR="00336F5A">
        <w:rPr>
          <w:rFonts w:ascii="Times New Roman" w:hAnsi="Times New Roman" w:cs="Times New Roman"/>
        </w:rPr>
        <w:t>3</w:t>
      </w:r>
      <w:r w:rsidR="002D420F">
        <w:rPr>
          <w:rFonts w:ascii="Times New Roman" w:hAnsi="Times New Roman" w:cs="Times New Roman"/>
        </w:rPr>
        <w:t xml:space="preserve">4.4% of total selections, demonstrates that the strategy’s alpha derived from </w:t>
      </w:r>
      <w:r w:rsidR="007B32FD">
        <w:rPr>
          <w:rFonts w:ascii="Times New Roman" w:hAnsi="Times New Roman" w:cs="Times New Roman"/>
        </w:rPr>
        <w:t>correct</w:t>
      </w:r>
      <w:r w:rsidR="002D420F">
        <w:rPr>
          <w:rFonts w:ascii="Times New Roman" w:hAnsi="Times New Roman" w:cs="Times New Roman"/>
        </w:rPr>
        <w:t xml:space="preserve"> timing entry and exit in the AI mega-trend rather than diversified stock picking across all four sleeves. The 109.74% net CAGR with 0.814 beta and 0.6472 alpha confirms that returns </w:t>
      </w:r>
      <w:r w:rsidR="008845B9">
        <w:rPr>
          <w:rFonts w:ascii="Times New Roman" w:hAnsi="Times New Roman" w:cs="Times New Roman"/>
        </w:rPr>
        <w:t>exceeded</w:t>
      </w:r>
      <w:r w:rsidR="002D420F">
        <w:rPr>
          <w:rFonts w:ascii="Times New Roman" w:hAnsi="Times New Roman" w:cs="Times New Roman"/>
        </w:rPr>
        <w:t xml:space="preserve"> what market exposure alone would predict, representing genuine security selection value-add.</w:t>
      </w:r>
      <w:r w:rsidR="00787553">
        <w:rPr>
          <w:rFonts w:ascii="Times New Roman" w:hAnsi="Times New Roman" w:cs="Times New Roman"/>
        </w:rPr>
        <w:t xml:space="preserve"> </w:t>
      </w:r>
    </w:p>
    <w:p w14:paraId="0582A9A6" w14:textId="48FE8CFE" w:rsidR="008276A0" w:rsidRPr="005C68B0" w:rsidRDefault="00F76BF5" w:rsidP="005C68B0">
      <w:pPr>
        <w:spacing w:line="480" w:lineRule="auto"/>
        <w:rPr>
          <w:rFonts w:ascii="Times New Roman" w:hAnsi="Times New Roman" w:cs="Times New Roman"/>
        </w:rPr>
      </w:pPr>
      <w:r>
        <w:rPr>
          <w:rFonts w:ascii="Times New Roman" w:hAnsi="Times New Roman" w:cs="Times New Roman"/>
        </w:rPr>
        <w:tab/>
      </w:r>
      <w:r w:rsidRPr="002C5146">
        <w:rPr>
          <w:rFonts w:ascii="Times New Roman" w:hAnsi="Times New Roman" w:cs="Times New Roman"/>
        </w:rPr>
        <w:t xml:space="preserve">Cumulative performance comparison illustrates the </w:t>
      </w:r>
      <w:r w:rsidR="002C5146" w:rsidRPr="002C5146">
        <w:rPr>
          <w:rFonts w:ascii="Times New Roman" w:hAnsi="Times New Roman" w:cs="Times New Roman"/>
        </w:rPr>
        <w:t>magnitude of mac</w:t>
      </w:r>
      <w:r w:rsidR="002C5146">
        <w:rPr>
          <w:rFonts w:ascii="Times New Roman" w:hAnsi="Times New Roman" w:cs="Times New Roman"/>
        </w:rPr>
        <w:t xml:space="preserve">hine learning outperformance (Figure 2). </w:t>
      </w:r>
      <w:r w:rsidR="00C711CC">
        <w:rPr>
          <w:rFonts w:ascii="Times New Roman" w:hAnsi="Times New Roman" w:cs="Times New Roman"/>
        </w:rPr>
        <w:t xml:space="preserve">The log-scale chart reveals that </w:t>
      </w:r>
      <w:r w:rsidR="00DC3B1B">
        <w:rPr>
          <w:rFonts w:ascii="Times New Roman" w:hAnsi="Times New Roman" w:cs="Times New Roman"/>
        </w:rPr>
        <w:t>ML</w:t>
      </w:r>
      <w:r w:rsidR="00C711CC">
        <w:rPr>
          <w:rFonts w:ascii="Times New Roman" w:hAnsi="Times New Roman" w:cs="Times New Roman"/>
        </w:rPr>
        <w:t>’s exponential growth trajectory accelerated particularly from 2020 onward, coinciding with the AI investment boom and the strategy’s ability to concentrate capital in NVDA, MSFT, and AMD during their explosive growth phase. In contrast, Clenow experienced violent oscillations with multiple severe drawdown periods, while SPY and Checkpoint A delivered steady but unspectacular wealth accumulation.</w:t>
      </w:r>
    </w:p>
    <w:p w14:paraId="19FF05EF" w14:textId="67AADE1D" w:rsidR="00EE3AE1" w:rsidRDefault="004A3123" w:rsidP="003547A8">
      <w:pPr>
        <w:jc w:val="center"/>
        <w:rPr>
          <w:rFonts w:ascii="Times New Roman" w:hAnsi="Times New Roman" w:cs="Times New Roman"/>
          <w:b/>
          <w:bCs/>
          <w:sz w:val="22"/>
          <w:szCs w:val="22"/>
        </w:rPr>
      </w:pPr>
      <w:r>
        <w:rPr>
          <w:rFonts w:ascii="Times New Roman" w:hAnsi="Times New Roman" w:cs="Times New Roman"/>
          <w:b/>
          <w:bCs/>
          <w:sz w:val="22"/>
          <w:szCs w:val="22"/>
        </w:rPr>
        <w:lastRenderedPageBreak/>
        <w:t>Figure 2: Cumulative Performance Across All Strategies</w:t>
      </w:r>
    </w:p>
    <w:p w14:paraId="2B7E44EB" w14:textId="3A4484F2" w:rsidR="004A3123" w:rsidRDefault="004A3123" w:rsidP="003547A8">
      <w:pPr>
        <w:jc w:val="center"/>
        <w:rPr>
          <w:rFonts w:ascii="Times New Roman" w:hAnsi="Times New Roman" w:cs="Times New Roman"/>
          <w:b/>
          <w:bCs/>
          <w:sz w:val="22"/>
          <w:szCs w:val="22"/>
        </w:rPr>
      </w:pPr>
      <w:r w:rsidRPr="004A3123">
        <w:rPr>
          <w:rFonts w:ascii="Times New Roman" w:hAnsi="Times New Roman" w:cs="Times New Roman"/>
          <w:b/>
          <w:bCs/>
          <w:noProof/>
          <w:sz w:val="22"/>
          <w:szCs w:val="22"/>
        </w:rPr>
        <w:drawing>
          <wp:inline distT="0" distB="0" distL="0" distR="0" wp14:anchorId="71ACF9D9" wp14:editId="6DBDCE1E">
            <wp:extent cx="5943600" cy="3305810"/>
            <wp:effectExtent l="0" t="0" r="0" b="8890"/>
            <wp:docPr id="1066652569" name="Picture 1" descr="A graph of a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52569" name="Picture 1" descr="A graph of a stock market&#10;&#10;AI-generated content may be incorrect."/>
                    <pic:cNvPicPr/>
                  </pic:nvPicPr>
                  <pic:blipFill>
                    <a:blip r:embed="rId8"/>
                    <a:stretch>
                      <a:fillRect/>
                    </a:stretch>
                  </pic:blipFill>
                  <pic:spPr>
                    <a:xfrm>
                      <a:off x="0" y="0"/>
                      <a:ext cx="5943600" cy="3305810"/>
                    </a:xfrm>
                    <a:prstGeom prst="rect">
                      <a:avLst/>
                    </a:prstGeom>
                  </pic:spPr>
                </pic:pic>
              </a:graphicData>
            </a:graphic>
          </wp:inline>
        </w:drawing>
      </w:r>
    </w:p>
    <w:p w14:paraId="7297B2D4" w14:textId="6B439D3B" w:rsidR="005C68B0" w:rsidRDefault="00571AF5" w:rsidP="00E31898">
      <w:pPr>
        <w:spacing w:line="480" w:lineRule="auto"/>
        <w:rPr>
          <w:rFonts w:ascii="Times New Roman" w:hAnsi="Times New Roman" w:cs="Times New Roman"/>
        </w:rPr>
      </w:pPr>
      <w:r>
        <w:rPr>
          <w:rFonts w:ascii="Times New Roman" w:hAnsi="Times New Roman" w:cs="Times New Roman"/>
        </w:rPr>
        <w:tab/>
      </w:r>
      <w:r w:rsidRPr="00571AF5">
        <w:rPr>
          <w:rFonts w:ascii="Times New Roman" w:hAnsi="Times New Roman" w:cs="Times New Roman"/>
        </w:rPr>
        <w:t>Maximum drawdown comparison illustrates the</w:t>
      </w:r>
      <w:r>
        <w:rPr>
          <w:rFonts w:ascii="Times New Roman" w:hAnsi="Times New Roman" w:cs="Times New Roman"/>
        </w:rPr>
        <w:t xml:space="preserve"> machine learning strategy’s risk management advantage (Figure 4). While Clenow experienced a catastrophic -74.35% peak-to-trough decline during the 2022-2023 correction, </w:t>
      </w:r>
      <w:r w:rsidR="00DC3B1B">
        <w:rPr>
          <w:rFonts w:ascii="Times New Roman" w:hAnsi="Times New Roman" w:cs="Times New Roman"/>
        </w:rPr>
        <w:t>ML’s</w:t>
      </w:r>
      <w:r>
        <w:rPr>
          <w:rFonts w:ascii="Times New Roman" w:hAnsi="Times New Roman" w:cs="Times New Roman"/>
        </w:rPr>
        <w:t xml:space="preserve"> worst drawdown was -37.46%, recovering to new highs within months rather than years. The drawdown time series shows that </w:t>
      </w:r>
      <w:r w:rsidR="00DC3B1B">
        <w:rPr>
          <w:rFonts w:ascii="Times New Roman" w:hAnsi="Times New Roman" w:cs="Times New Roman"/>
        </w:rPr>
        <w:t xml:space="preserve">ML </w:t>
      </w:r>
      <w:r>
        <w:rPr>
          <w:rFonts w:ascii="Times New Roman" w:hAnsi="Times New Roman" w:cs="Times New Roman"/>
        </w:rPr>
        <w:t>spent the majority of 2021-2025 at or near all-time highs, whereas Clenow remained in deep drawdown territory for extended periods. SPY exhibited moderate -25% typical drawdowns with predictable recovery patterns.</w:t>
      </w:r>
    </w:p>
    <w:p w14:paraId="779C2687" w14:textId="6EF1DE27" w:rsidR="005C68B0" w:rsidRPr="00971D57" w:rsidRDefault="00571AF5" w:rsidP="00971D57">
      <w:pPr>
        <w:spacing w:line="480" w:lineRule="auto"/>
        <w:rPr>
          <w:rFonts w:ascii="Times New Roman" w:hAnsi="Times New Roman" w:cs="Times New Roman"/>
        </w:rPr>
      </w:pPr>
      <w:r>
        <w:rPr>
          <w:rFonts w:ascii="Times New Roman" w:hAnsi="Times New Roman" w:cs="Times New Roman"/>
        </w:rPr>
        <w:tab/>
        <w:t>Rolling 1-year Sharpe ratio analysis shows machine learning consistently maintaining 3-5 Sharpe ratios from 2021 through 2025 (Figure 3), while Clenow oscillated violently between -3 and</w:t>
      </w:r>
      <w:r w:rsidR="00E31898">
        <w:rPr>
          <w:rFonts w:ascii="Times New Roman" w:hAnsi="Times New Roman" w:cs="Times New Roman"/>
        </w:rPr>
        <w:t xml:space="preserve"> 3, and SPY hovered near 0-1. The </w:t>
      </w:r>
      <w:r w:rsidR="00DC3B1B">
        <w:rPr>
          <w:rFonts w:ascii="Times New Roman" w:hAnsi="Times New Roman" w:cs="Times New Roman"/>
        </w:rPr>
        <w:t>ML</w:t>
      </w:r>
      <w:r w:rsidR="00E31898">
        <w:rPr>
          <w:rFonts w:ascii="Times New Roman" w:hAnsi="Times New Roman" w:cs="Times New Roman"/>
        </w:rPr>
        <w:t xml:space="preserve"> strategy’s stable high Sharpe ratios reflect its monthly retraining cycle, which allowed models to detect deteriorating momentum and rotate out of faltering positions before major losses accumulated.</w:t>
      </w:r>
    </w:p>
    <w:p w14:paraId="0717B020" w14:textId="165C8D0F" w:rsidR="004A3123" w:rsidRDefault="00B95BCD" w:rsidP="003547A8">
      <w:pPr>
        <w:jc w:val="center"/>
        <w:rPr>
          <w:rFonts w:ascii="Times New Roman" w:hAnsi="Times New Roman" w:cs="Times New Roman"/>
          <w:b/>
          <w:bCs/>
          <w:sz w:val="22"/>
          <w:szCs w:val="22"/>
        </w:rPr>
      </w:pPr>
      <w:r>
        <w:rPr>
          <w:rFonts w:ascii="Times New Roman" w:hAnsi="Times New Roman" w:cs="Times New Roman"/>
          <w:b/>
          <w:bCs/>
          <w:sz w:val="22"/>
          <w:szCs w:val="22"/>
        </w:rPr>
        <w:lastRenderedPageBreak/>
        <w:t>Figure 3: Rolling 1 Year Sharpe Volatility</w:t>
      </w:r>
    </w:p>
    <w:p w14:paraId="4655CA69" w14:textId="1A72324E" w:rsidR="00B95BCD" w:rsidRDefault="00B95BCD" w:rsidP="003547A8">
      <w:pPr>
        <w:jc w:val="center"/>
        <w:rPr>
          <w:rFonts w:ascii="Times New Roman" w:hAnsi="Times New Roman" w:cs="Times New Roman"/>
          <w:b/>
          <w:bCs/>
          <w:sz w:val="22"/>
          <w:szCs w:val="22"/>
        </w:rPr>
      </w:pPr>
      <w:r w:rsidRPr="00B95BCD">
        <w:rPr>
          <w:rFonts w:ascii="Times New Roman" w:hAnsi="Times New Roman" w:cs="Times New Roman"/>
          <w:b/>
          <w:bCs/>
          <w:noProof/>
          <w:sz w:val="22"/>
          <w:szCs w:val="22"/>
        </w:rPr>
        <w:drawing>
          <wp:inline distT="0" distB="0" distL="0" distR="0" wp14:anchorId="2A009BD3" wp14:editId="0E523E72">
            <wp:extent cx="5943600" cy="2916555"/>
            <wp:effectExtent l="0" t="0" r="0" b="0"/>
            <wp:docPr id="1708825489"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825489" name="Picture 1" descr="A graph of a graph&#10;&#10;AI-generated content may be incorrect."/>
                    <pic:cNvPicPr/>
                  </pic:nvPicPr>
                  <pic:blipFill>
                    <a:blip r:embed="rId9"/>
                    <a:stretch>
                      <a:fillRect/>
                    </a:stretch>
                  </pic:blipFill>
                  <pic:spPr>
                    <a:xfrm>
                      <a:off x="0" y="0"/>
                      <a:ext cx="5943600" cy="2916555"/>
                    </a:xfrm>
                    <a:prstGeom prst="rect">
                      <a:avLst/>
                    </a:prstGeom>
                  </pic:spPr>
                </pic:pic>
              </a:graphicData>
            </a:graphic>
          </wp:inline>
        </w:drawing>
      </w:r>
    </w:p>
    <w:p w14:paraId="1937506F" w14:textId="7687B9BB" w:rsidR="00B95BCD" w:rsidRDefault="00B95BCD" w:rsidP="003547A8">
      <w:pPr>
        <w:jc w:val="center"/>
        <w:rPr>
          <w:rFonts w:ascii="Times New Roman" w:hAnsi="Times New Roman" w:cs="Times New Roman"/>
          <w:b/>
          <w:bCs/>
          <w:sz w:val="22"/>
          <w:szCs w:val="22"/>
        </w:rPr>
      </w:pPr>
      <w:r>
        <w:rPr>
          <w:rFonts w:ascii="Times New Roman" w:hAnsi="Times New Roman" w:cs="Times New Roman"/>
          <w:b/>
          <w:bCs/>
          <w:sz w:val="22"/>
          <w:szCs w:val="22"/>
        </w:rPr>
        <w:t>Figure 4: Max Drawdown</w:t>
      </w:r>
    </w:p>
    <w:p w14:paraId="5C2D7203" w14:textId="725E5796" w:rsidR="00B95BCD" w:rsidRPr="00EE3AE1" w:rsidRDefault="00A527E3" w:rsidP="003547A8">
      <w:pPr>
        <w:jc w:val="center"/>
        <w:rPr>
          <w:rFonts w:ascii="Times New Roman" w:hAnsi="Times New Roman" w:cs="Times New Roman"/>
          <w:b/>
          <w:bCs/>
          <w:sz w:val="22"/>
          <w:szCs w:val="22"/>
        </w:rPr>
      </w:pPr>
      <w:r w:rsidRPr="00A527E3">
        <w:rPr>
          <w:rFonts w:ascii="Times New Roman" w:hAnsi="Times New Roman" w:cs="Times New Roman"/>
          <w:b/>
          <w:bCs/>
          <w:noProof/>
          <w:sz w:val="22"/>
          <w:szCs w:val="22"/>
        </w:rPr>
        <w:drawing>
          <wp:inline distT="0" distB="0" distL="0" distR="0" wp14:anchorId="28530B0E" wp14:editId="3DEE739A">
            <wp:extent cx="5943600" cy="3043555"/>
            <wp:effectExtent l="0" t="0" r="0" b="4445"/>
            <wp:docPr id="386026351" name="Picture 1" descr="A graph of a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026351" name="Picture 1" descr="A graph of a stock market&#10;&#10;AI-generated content may be incorrect."/>
                    <pic:cNvPicPr/>
                  </pic:nvPicPr>
                  <pic:blipFill>
                    <a:blip r:embed="rId10"/>
                    <a:stretch>
                      <a:fillRect/>
                    </a:stretch>
                  </pic:blipFill>
                  <pic:spPr>
                    <a:xfrm>
                      <a:off x="0" y="0"/>
                      <a:ext cx="5943600" cy="3043555"/>
                    </a:xfrm>
                    <a:prstGeom prst="rect">
                      <a:avLst/>
                    </a:prstGeom>
                  </pic:spPr>
                </pic:pic>
              </a:graphicData>
            </a:graphic>
          </wp:inline>
        </w:drawing>
      </w:r>
    </w:p>
    <w:p w14:paraId="7A2B6959" w14:textId="4FDB671E" w:rsidR="00971D57" w:rsidRDefault="00971D57" w:rsidP="00E24B72">
      <w:pPr>
        <w:spacing w:before="100" w:beforeAutospacing="1" w:after="100" w:afterAutospacing="1" w:line="480" w:lineRule="auto"/>
      </w:pPr>
      <w:r>
        <w:tab/>
        <w:t xml:space="preserve">HMM regime detection, trained </w:t>
      </w:r>
      <w:r w:rsidR="00A46CD2">
        <w:t xml:space="preserve">after allocation on the full 10-year SPY return sample, classified each day into bull, sideways, or bear market regimes. Regime-conditional performance analysis reveals that </w:t>
      </w:r>
      <w:r w:rsidR="00DC3B1B">
        <w:t>ML</w:t>
      </w:r>
      <w:r w:rsidR="00A46CD2">
        <w:t xml:space="preserve"> performance remained exceptional across all three regimes (Table 2). </w:t>
      </w:r>
      <w:r w:rsidR="0033103E">
        <w:t xml:space="preserve">In contrast, Clenow delivered 57.85% in bear markets </w:t>
      </w:r>
      <w:r w:rsidR="0033103E">
        <w:lastRenderedPageBreak/>
        <w:t xml:space="preserve">and 63.86% in sideways markets but collapsed to -39.31% during bull markets, highlighting </w:t>
      </w:r>
      <w:r w:rsidR="0020482D">
        <w:t>its regime-dependent frailty. This regime analysis must be interpreted cautiously, as the HMM was trained on data including future information, introducing look-ahead bias. The results serve as retrospective performance attribution rather than deployable trading signals. Nonetheless, the pattern suggest</w:t>
      </w:r>
      <w:r w:rsidR="000E6F47">
        <w:t>s</w:t>
      </w:r>
      <w:r w:rsidR="0020482D">
        <w:t xml:space="preserve"> </w:t>
      </w:r>
      <w:r w:rsidR="00DC3B1B">
        <w:t>ML</w:t>
      </w:r>
      <w:r w:rsidR="0020482D">
        <w:t>’s retraining process enables performance persistence across different market environments, while pure momentum strategies suffer during regime transitions.</w:t>
      </w:r>
    </w:p>
    <w:p w14:paraId="2D1ADCE6" w14:textId="2AA1D172" w:rsidR="00471000" w:rsidRPr="00471000" w:rsidRDefault="00471000" w:rsidP="00471000">
      <w:pPr>
        <w:spacing w:before="100" w:beforeAutospacing="1" w:after="100" w:afterAutospacing="1" w:line="480" w:lineRule="auto"/>
        <w:jc w:val="center"/>
        <w:rPr>
          <w:rFonts w:ascii="Times New Roman" w:hAnsi="Times New Roman" w:cs="Times New Roman"/>
          <w:b/>
          <w:bCs/>
          <w:sz w:val="22"/>
          <w:szCs w:val="22"/>
        </w:rPr>
      </w:pPr>
      <w:r>
        <w:rPr>
          <w:rFonts w:ascii="Times New Roman" w:hAnsi="Times New Roman" w:cs="Times New Roman"/>
          <w:b/>
          <w:bCs/>
          <w:sz w:val="22"/>
          <w:szCs w:val="22"/>
        </w:rPr>
        <w:t>Table 2: Strategy Performance By Regime</w:t>
      </w:r>
    </w:p>
    <w:p w14:paraId="47A5599F" w14:textId="2823012A" w:rsidR="00471000" w:rsidRDefault="00471000" w:rsidP="00471000">
      <w:pPr>
        <w:spacing w:before="100" w:beforeAutospacing="1" w:after="100" w:afterAutospacing="1" w:line="480" w:lineRule="auto"/>
        <w:jc w:val="center"/>
      </w:pPr>
      <w:r w:rsidRPr="00471000">
        <w:rPr>
          <w:noProof/>
        </w:rPr>
        <w:drawing>
          <wp:inline distT="0" distB="0" distL="0" distR="0" wp14:anchorId="61F07B5A" wp14:editId="149CED59">
            <wp:extent cx="4397121" cy="937341"/>
            <wp:effectExtent l="0" t="0" r="3810" b="0"/>
            <wp:docPr id="348738184" name="Picture 1" descr="A number of numbers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38184" name="Picture 1" descr="A number of numbers and a line&#10;&#10;AI-generated content may be incorrect."/>
                    <pic:cNvPicPr/>
                  </pic:nvPicPr>
                  <pic:blipFill>
                    <a:blip r:embed="rId11"/>
                    <a:stretch>
                      <a:fillRect/>
                    </a:stretch>
                  </pic:blipFill>
                  <pic:spPr>
                    <a:xfrm>
                      <a:off x="0" y="0"/>
                      <a:ext cx="4397121" cy="937341"/>
                    </a:xfrm>
                    <a:prstGeom prst="rect">
                      <a:avLst/>
                    </a:prstGeom>
                  </pic:spPr>
                </pic:pic>
              </a:graphicData>
            </a:graphic>
          </wp:inline>
        </w:drawing>
      </w:r>
    </w:p>
    <w:p w14:paraId="310CE518" w14:textId="09BB6878" w:rsidR="00971D57" w:rsidRPr="00A653EA" w:rsidRDefault="00A2417C" w:rsidP="00E24B72">
      <w:pPr>
        <w:spacing w:before="100" w:beforeAutospacing="1" w:after="100" w:afterAutospacing="1" w:line="480" w:lineRule="auto"/>
      </w:pPr>
      <w:r>
        <w:tab/>
        <w:t>Proxy sleeve analysis using QQQ, ITA, BTC-USD, and XLK extended the backtest to 1999, providing 26 years of sleeve-level performance history. Over this extended horizon, the AI Infrastructure proxy (QQQ) delivered 17.67% CAGR with 0.562 Sharpe, confirming the long-run dominance of technology-focused allocations.</w:t>
      </w:r>
      <w:r w:rsidR="00EE0673">
        <w:t xml:space="preserve"> </w:t>
      </w:r>
      <w:r w:rsidR="00471000">
        <w:t>Cryptocurrency</w:t>
      </w:r>
      <w:r w:rsidR="00EE0673">
        <w:t xml:space="preserve"> delivered higher CAGR but with 61.23% volatility and 0.341 Sharpe, illustrating the diversification versus concentration trade-off. H</w:t>
      </w:r>
      <w:r w:rsidR="00A653EA">
        <w:t xml:space="preserve">igh-volatility, high-return assets like Bitcoin offer theoretical Sharpe improvement through small allocations, but implementation challenges including custody risk, liquidity constraints, and extreme drawdowns limit practical viability. The proxy results validate the strategic rationale for heavy AI Infrastructure allocation while confirming that crypto exposure, despite higher raw returns, does not </w:t>
      </w:r>
      <w:r w:rsidR="00A653EA">
        <w:lastRenderedPageBreak/>
        <w:t>improve risk-adjusted performance at scale.</w:t>
      </w:r>
      <w:r w:rsidR="003026F6">
        <w:t xml:space="preserve"> </w:t>
      </w:r>
      <w:r w:rsidR="00A653EA">
        <w:t xml:space="preserve">Buy-and-hold equal-weight portfolio performance of 18.78% CAGR with 0.481 Sharpe provides the passive benchmark (Table 1). This baseline represents a naïve strategy requiring no rebalancing, forecasting, or active decisions beyond initial equal allocation. The SPY benchmark delivered 11.49% CAGR with 0.412 Sharpe over the identical period, consistent with historical US large-cap equity returns. All active strategies outperformed SPY, but only </w:t>
      </w:r>
      <w:r w:rsidR="00DC3B1B">
        <w:t>ML</w:t>
      </w:r>
      <w:r w:rsidR="00A653EA">
        <w:t xml:space="preserve"> and Monte Carlo long-only exceeded the equal-weight benchmark after fees. </w:t>
      </w:r>
    </w:p>
    <w:p w14:paraId="5DA8DD12" w14:textId="7705B565" w:rsidR="00E24B72" w:rsidRPr="000B710C" w:rsidRDefault="00E24B72" w:rsidP="00E24B72">
      <w:pPr>
        <w:spacing w:before="100" w:beforeAutospacing="1" w:after="100" w:afterAutospacing="1" w:line="480" w:lineRule="auto"/>
        <w:rPr>
          <w:rFonts w:ascii="Times New Roman" w:eastAsia="Times New Roman" w:hAnsi="Times New Roman" w:cs="Times New Roman"/>
          <w:b/>
          <w:bCs/>
          <w:kern w:val="0"/>
          <w:sz w:val="32"/>
          <w:szCs w:val="32"/>
          <w14:ligatures w14:val="none"/>
        </w:rPr>
      </w:pPr>
      <w:r w:rsidRPr="000B710C">
        <w:rPr>
          <w:rFonts w:ascii="Times New Roman" w:eastAsia="Times New Roman" w:hAnsi="Times New Roman" w:cs="Times New Roman"/>
          <w:b/>
          <w:bCs/>
          <w:kern w:val="0"/>
          <w:sz w:val="32"/>
          <w:szCs w:val="32"/>
          <w14:ligatures w14:val="none"/>
        </w:rPr>
        <w:t>Conclusion</w:t>
      </w:r>
    </w:p>
    <w:p w14:paraId="3235D54E" w14:textId="2F3F6701" w:rsidR="00E24B72" w:rsidRDefault="00E24B72" w:rsidP="00E24B72">
      <w:pPr>
        <w:spacing w:before="100" w:beforeAutospacing="1" w:after="100" w:afterAutospacing="1" w:line="480" w:lineRule="auto"/>
        <w:rPr>
          <w:rFonts w:ascii="Times New Roman" w:eastAsia="Times New Roman" w:hAnsi="Times New Roman" w:cs="Times New Roman"/>
          <w:kern w:val="0"/>
          <w14:ligatures w14:val="none"/>
        </w:rPr>
      </w:pPr>
      <w:r w:rsidRPr="000B710C">
        <w:rPr>
          <w:rFonts w:ascii="Times New Roman" w:eastAsia="Times New Roman" w:hAnsi="Times New Roman" w:cs="Times New Roman"/>
          <w:kern w:val="0"/>
          <w14:ligatures w14:val="none"/>
        </w:rPr>
        <w:tab/>
      </w:r>
      <w:r w:rsidR="006644D3" w:rsidRPr="003E14C5">
        <w:rPr>
          <w:rFonts w:ascii="Times New Roman" w:eastAsia="Times New Roman" w:hAnsi="Times New Roman" w:cs="Times New Roman"/>
          <w:kern w:val="0"/>
          <w14:ligatures w14:val="none"/>
        </w:rPr>
        <w:t xml:space="preserve">Checkpoint B demonstrates that </w:t>
      </w:r>
      <w:r w:rsidR="001C098F" w:rsidRPr="003E14C5">
        <w:rPr>
          <w:rFonts w:ascii="Times New Roman" w:eastAsia="Times New Roman" w:hAnsi="Times New Roman" w:cs="Times New Roman"/>
          <w:kern w:val="0"/>
          <w14:ligatures w14:val="none"/>
        </w:rPr>
        <w:t>quant</w:t>
      </w:r>
      <w:r w:rsidR="003E14C5" w:rsidRPr="003E14C5">
        <w:rPr>
          <w:rFonts w:ascii="Times New Roman" w:eastAsia="Times New Roman" w:hAnsi="Times New Roman" w:cs="Times New Roman"/>
          <w:kern w:val="0"/>
          <w14:ligatures w14:val="none"/>
        </w:rPr>
        <w:t>itative portfolio optimization delivers s</w:t>
      </w:r>
      <w:r w:rsidR="003E14C5">
        <w:rPr>
          <w:rFonts w:ascii="Times New Roman" w:eastAsia="Times New Roman" w:hAnsi="Times New Roman" w:cs="Times New Roman"/>
          <w:kern w:val="0"/>
          <w14:ligatures w14:val="none"/>
        </w:rPr>
        <w:t xml:space="preserve">ubstantial value for managing transformational technology exposures. The </w:t>
      </w:r>
      <w:r w:rsidR="00DC3B1B">
        <w:rPr>
          <w:rFonts w:ascii="Times New Roman" w:eastAsia="Times New Roman" w:hAnsi="Times New Roman" w:cs="Times New Roman"/>
          <w:kern w:val="0"/>
          <w14:ligatures w14:val="none"/>
        </w:rPr>
        <w:t>ML</w:t>
      </w:r>
      <w:r w:rsidR="003E14C5">
        <w:rPr>
          <w:rFonts w:ascii="Times New Roman" w:eastAsia="Times New Roman" w:hAnsi="Times New Roman" w:cs="Times New Roman"/>
          <w:kern w:val="0"/>
          <w14:ligatures w14:val="none"/>
        </w:rPr>
        <w:t xml:space="preserve"> strategy achieved 109.74% CAGR with 2.191 Sharpe ratio, dominating Monte Carlo optimized portfolios, momentum strategies, and passive benchmarks after accounting for realistic fees and transaction costs. </w:t>
      </w:r>
      <w:r w:rsidR="0042607D">
        <w:rPr>
          <w:rFonts w:ascii="Times New Roman" w:eastAsia="Times New Roman" w:hAnsi="Times New Roman" w:cs="Times New Roman"/>
          <w:kern w:val="0"/>
          <w14:ligatures w14:val="none"/>
        </w:rPr>
        <w:t>This validates the hypothesis that systematic security selection using momentum, volatility, and trend features can generate economically significant alpha in innovation-driven sectors.</w:t>
      </w:r>
    </w:p>
    <w:p w14:paraId="73AEC8E2" w14:textId="61ADA7D3" w:rsidR="0042607D" w:rsidRDefault="0042607D" w:rsidP="00E24B72">
      <w:pPr>
        <w:spacing w:before="100" w:beforeAutospacing="1" w:after="100" w:afterAutospacing="1"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t xml:space="preserve">Four key findings emerge from this analysis. First, concentrated allocation in high-performing sleeves </w:t>
      </w:r>
      <w:r w:rsidR="00703CA2">
        <w:rPr>
          <w:rFonts w:ascii="Times New Roman" w:eastAsia="Times New Roman" w:hAnsi="Times New Roman" w:cs="Times New Roman"/>
          <w:kern w:val="0"/>
          <w14:ligatures w14:val="none"/>
        </w:rPr>
        <w:t>outperforms</w:t>
      </w:r>
      <w:r>
        <w:rPr>
          <w:rFonts w:ascii="Times New Roman" w:eastAsia="Times New Roman" w:hAnsi="Times New Roman" w:cs="Times New Roman"/>
          <w:kern w:val="0"/>
          <w14:ligatures w14:val="none"/>
        </w:rPr>
        <w:t xml:space="preserve"> equal-weighting. </w:t>
      </w:r>
      <w:r w:rsidR="008F2FA2">
        <w:rPr>
          <w:rFonts w:ascii="Times New Roman" w:eastAsia="Times New Roman" w:hAnsi="Times New Roman" w:cs="Times New Roman"/>
          <w:kern w:val="0"/>
          <w14:ligatures w14:val="none"/>
        </w:rPr>
        <w:t xml:space="preserve">Second, </w:t>
      </w:r>
      <w:r w:rsidR="00DC3B1B">
        <w:rPr>
          <w:rFonts w:ascii="Times New Roman" w:eastAsia="Times New Roman" w:hAnsi="Times New Roman" w:cs="Times New Roman"/>
          <w:kern w:val="0"/>
          <w14:ligatures w14:val="none"/>
        </w:rPr>
        <w:t>ML</w:t>
      </w:r>
      <w:r w:rsidR="008F2FA2">
        <w:rPr>
          <w:rFonts w:ascii="Times New Roman" w:eastAsia="Times New Roman" w:hAnsi="Times New Roman" w:cs="Times New Roman"/>
          <w:kern w:val="0"/>
          <w14:ligatures w14:val="none"/>
        </w:rPr>
        <w:t>’s adaptive retraining process enables robust performance across market regimes. Third, turnover costs matter decisively for active strategies as seen in Clenow’s ~8% CAGR contraction after fees.</w:t>
      </w:r>
      <w:r w:rsidR="00A17E70">
        <w:rPr>
          <w:rFonts w:ascii="Times New Roman" w:eastAsia="Times New Roman" w:hAnsi="Times New Roman" w:cs="Times New Roman"/>
          <w:kern w:val="0"/>
          <w14:ligatures w14:val="none"/>
        </w:rPr>
        <w:t xml:space="preserve"> Fourth, security-level selection outperformed sleeve-level optimization.</w:t>
      </w:r>
    </w:p>
    <w:p w14:paraId="7EEE3C85" w14:textId="683032CB" w:rsidR="00F20C97" w:rsidRDefault="00F20C97" w:rsidP="00E24B72">
      <w:pPr>
        <w:spacing w:before="100" w:beforeAutospacing="1" w:after="100" w:afterAutospacing="1"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t xml:space="preserve">These findings inform three concrete adjustments to ATTF’s investment policy moving forward. The fund will adopt </w:t>
      </w:r>
      <w:r w:rsidR="00DC3B1B">
        <w:rPr>
          <w:rFonts w:ascii="Times New Roman" w:eastAsia="Times New Roman" w:hAnsi="Times New Roman" w:cs="Times New Roman"/>
          <w:kern w:val="0"/>
          <w14:ligatures w14:val="none"/>
        </w:rPr>
        <w:t>ML</w:t>
      </w:r>
      <w:r>
        <w:rPr>
          <w:rFonts w:ascii="Times New Roman" w:eastAsia="Times New Roman" w:hAnsi="Times New Roman" w:cs="Times New Roman"/>
          <w:kern w:val="0"/>
          <w14:ligatures w14:val="none"/>
        </w:rPr>
        <w:t xml:space="preserve"> security selection as the primary strategy, allocating at least </w:t>
      </w:r>
      <w:r w:rsidR="00A73965">
        <w:rPr>
          <w:rFonts w:ascii="Times New Roman" w:eastAsia="Times New Roman" w:hAnsi="Times New Roman" w:cs="Times New Roman"/>
          <w:kern w:val="0"/>
          <w14:ligatures w14:val="none"/>
        </w:rPr>
        <w:lastRenderedPageBreak/>
        <w:t>50% of capital to the walk-forward Ridge regression framework with monthly rebalancing. Monte Carlo optimization should govern the remaining 50% through quarterly sleeve rebalancing</w:t>
      </w:r>
      <w:r w:rsidR="005A2E16">
        <w:rPr>
          <w:rFonts w:ascii="Times New Roman" w:eastAsia="Times New Roman" w:hAnsi="Times New Roman" w:cs="Times New Roman"/>
          <w:kern w:val="0"/>
          <w14:ligatures w14:val="none"/>
        </w:rPr>
        <w:t>. Pure momentum strategies like Clenow should be excluded due to catastrophic drawdown risk and insufficient net-of-fees alpha. Additionally, short-selling should remain prohibited despite modest Sharpe improvements as operational complexity, borrow costs, and regulatory constraints outweigh the modest gains.</w:t>
      </w:r>
    </w:p>
    <w:p w14:paraId="4BAD865D" w14:textId="41A89B2F" w:rsidR="005A2E16" w:rsidRDefault="005A2E16" w:rsidP="00E24B72">
      <w:pPr>
        <w:spacing w:before="100" w:beforeAutospacing="1" w:after="100" w:afterAutospacing="1"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t>Several critical enhancements will strengthen future research. Feature engineering should incorporate fundamental signals beyond technical indicators</w:t>
      </w:r>
      <w:r w:rsidR="002071F1">
        <w:rPr>
          <w:rFonts w:ascii="Times New Roman" w:eastAsia="Times New Roman" w:hAnsi="Times New Roman" w:cs="Times New Roman"/>
          <w:kern w:val="0"/>
          <w14:ligatures w14:val="none"/>
        </w:rPr>
        <w:t>. Macroeconomic regime prediction should integrate Federal Reserve policy sentiment, yield curve slopes, and credit spread dynamic</w:t>
      </w:r>
      <w:r w:rsidR="00063859">
        <w:rPr>
          <w:rFonts w:ascii="Times New Roman" w:eastAsia="Times New Roman" w:hAnsi="Times New Roman" w:cs="Times New Roman"/>
          <w:kern w:val="0"/>
          <w14:ligatures w14:val="none"/>
        </w:rPr>
        <w:t>s</w:t>
      </w:r>
      <w:r w:rsidR="002071F1">
        <w:rPr>
          <w:rFonts w:ascii="Times New Roman" w:eastAsia="Times New Roman" w:hAnsi="Times New Roman" w:cs="Times New Roman"/>
          <w:kern w:val="0"/>
          <w14:ligatures w14:val="none"/>
        </w:rPr>
        <w:t xml:space="preserve"> to anticipate </w:t>
      </w:r>
      <w:r w:rsidR="00DA5C0B">
        <w:rPr>
          <w:rFonts w:ascii="Times New Roman" w:eastAsia="Times New Roman" w:hAnsi="Times New Roman" w:cs="Times New Roman"/>
          <w:kern w:val="0"/>
          <w14:ligatures w14:val="none"/>
        </w:rPr>
        <w:t xml:space="preserve">regime transitions rather than identifying them retrospectively. </w:t>
      </w:r>
      <w:r w:rsidR="0043572A">
        <w:rPr>
          <w:rFonts w:ascii="Times New Roman" w:eastAsia="Times New Roman" w:hAnsi="Times New Roman" w:cs="Times New Roman"/>
          <w:kern w:val="0"/>
          <w14:ligatures w14:val="none"/>
        </w:rPr>
        <w:t xml:space="preserve">I started this research, but it became unwieldy for the checkpoint deliverables. </w:t>
      </w:r>
      <w:r w:rsidR="00DA5C0B">
        <w:rPr>
          <w:rFonts w:ascii="Times New Roman" w:eastAsia="Times New Roman" w:hAnsi="Times New Roman" w:cs="Times New Roman"/>
          <w:kern w:val="0"/>
          <w14:ligatures w14:val="none"/>
        </w:rPr>
        <w:t xml:space="preserve">Transaction cost </w:t>
      </w:r>
      <w:r w:rsidR="0043572A">
        <w:rPr>
          <w:rFonts w:ascii="Times New Roman" w:eastAsia="Times New Roman" w:hAnsi="Times New Roman" w:cs="Times New Roman"/>
          <w:kern w:val="0"/>
          <w14:ligatures w14:val="none"/>
        </w:rPr>
        <w:t>sensitivity</w:t>
      </w:r>
      <w:r w:rsidR="00DA5C0B">
        <w:rPr>
          <w:rFonts w:ascii="Times New Roman" w:eastAsia="Times New Roman" w:hAnsi="Times New Roman" w:cs="Times New Roman"/>
          <w:kern w:val="0"/>
          <w14:ligatures w14:val="none"/>
        </w:rPr>
        <w:t xml:space="preserve"> analysis should vary assumptions to bracket realistic implementation costs across market cap segments. </w:t>
      </w:r>
      <w:r w:rsidR="006D7DFC">
        <w:rPr>
          <w:rFonts w:ascii="Times New Roman" w:eastAsia="Times New Roman" w:hAnsi="Times New Roman" w:cs="Times New Roman"/>
          <w:kern w:val="0"/>
          <w14:ligatures w14:val="none"/>
        </w:rPr>
        <w:t>The</w:t>
      </w:r>
      <w:r w:rsidR="00DA5C0B">
        <w:rPr>
          <w:rFonts w:ascii="Times New Roman" w:eastAsia="Times New Roman" w:hAnsi="Times New Roman" w:cs="Times New Roman"/>
          <w:kern w:val="0"/>
          <w14:ligatures w14:val="none"/>
        </w:rPr>
        <w:t xml:space="preserve"> HMM regime detection framework should be retrained using expanding windows rather than full sample to eliminate look-ahead bias and produce deployable tactical allocation signals.</w:t>
      </w:r>
    </w:p>
    <w:p w14:paraId="226BBA08" w14:textId="779A6636" w:rsidR="003E45B9" w:rsidRPr="003722BF" w:rsidRDefault="00DA5C0B" w:rsidP="003722BF">
      <w:pPr>
        <w:spacing w:before="100" w:beforeAutospacing="1" w:after="100" w:afterAutospacing="1"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t xml:space="preserve">This paper confirms that the integration of modern portfolio theory, </w:t>
      </w:r>
      <w:r w:rsidR="00DC3B1B">
        <w:rPr>
          <w:rFonts w:ascii="Times New Roman" w:eastAsia="Times New Roman" w:hAnsi="Times New Roman" w:cs="Times New Roman"/>
          <w:kern w:val="0"/>
          <w14:ligatures w14:val="none"/>
        </w:rPr>
        <w:t>ML</w:t>
      </w:r>
      <w:r>
        <w:rPr>
          <w:rFonts w:ascii="Times New Roman" w:eastAsia="Times New Roman" w:hAnsi="Times New Roman" w:cs="Times New Roman"/>
          <w:kern w:val="0"/>
          <w14:ligatures w14:val="none"/>
        </w:rPr>
        <w:t xml:space="preserve"> walk-forward validation, and rigorous fee modeling provides a robust foundation for the ATTF. The evidence supports continued development of systematic, rules-based portfolio optimization as a viable alternative to discretionary active management in transformational technology sectors.</w:t>
      </w:r>
      <w:r w:rsidR="00D16ABC">
        <w:rPr>
          <w:rFonts w:ascii="Times New Roman" w:eastAsia="Times New Roman" w:hAnsi="Times New Roman" w:cs="Times New Roman"/>
          <w:kern w:val="0"/>
          <w14:ligatures w14:val="none"/>
        </w:rPr>
        <w:t xml:space="preserve"> The </w:t>
      </w:r>
      <w:r w:rsidR="00DC3B1B">
        <w:rPr>
          <w:rFonts w:ascii="Times New Roman" w:eastAsia="Times New Roman" w:hAnsi="Times New Roman" w:cs="Times New Roman"/>
          <w:kern w:val="0"/>
          <w14:ligatures w14:val="none"/>
        </w:rPr>
        <w:t>ML</w:t>
      </w:r>
      <w:r w:rsidR="00D16ABC">
        <w:rPr>
          <w:rFonts w:ascii="Times New Roman" w:eastAsia="Times New Roman" w:hAnsi="Times New Roman" w:cs="Times New Roman"/>
          <w:kern w:val="0"/>
          <w14:ligatures w14:val="none"/>
        </w:rPr>
        <w:t xml:space="preserve"> results from this research </w:t>
      </w:r>
      <w:r w:rsidR="00097687">
        <w:rPr>
          <w:rFonts w:ascii="Times New Roman" w:eastAsia="Times New Roman" w:hAnsi="Times New Roman" w:cs="Times New Roman"/>
          <w:kern w:val="0"/>
          <w14:ligatures w14:val="none"/>
        </w:rPr>
        <w:t xml:space="preserve">provide </w:t>
      </w:r>
      <w:r w:rsidR="000563A7">
        <w:rPr>
          <w:rFonts w:ascii="Times New Roman" w:eastAsia="Times New Roman" w:hAnsi="Times New Roman" w:cs="Times New Roman"/>
          <w:kern w:val="0"/>
          <w14:ligatures w14:val="none"/>
        </w:rPr>
        <w:t>evidence</w:t>
      </w:r>
      <w:r w:rsidR="00097687">
        <w:rPr>
          <w:rFonts w:ascii="Times New Roman" w:eastAsia="Times New Roman" w:hAnsi="Times New Roman" w:cs="Times New Roman"/>
          <w:kern w:val="0"/>
          <w14:ligatures w14:val="none"/>
        </w:rPr>
        <w:t xml:space="preserve"> that a quantitative framework </w:t>
      </w:r>
      <w:r w:rsidR="00AA315A">
        <w:rPr>
          <w:rFonts w:ascii="Times New Roman" w:eastAsia="Times New Roman" w:hAnsi="Times New Roman" w:cs="Times New Roman"/>
          <w:kern w:val="0"/>
          <w14:ligatures w14:val="none"/>
        </w:rPr>
        <w:t>enables transformational alpha generation that justifies active management fees and positions the ATTF as a differentiated offering in the thematic ETF landscape.</w:t>
      </w:r>
    </w:p>
    <w:p w14:paraId="5F88E3F5" w14:textId="7385B569" w:rsidR="009B2BBF" w:rsidRDefault="009B2BBF" w:rsidP="009B2BBF">
      <w:pPr>
        <w:pStyle w:val="NormalWeb"/>
        <w:spacing w:line="480" w:lineRule="auto"/>
        <w:rPr>
          <w:b/>
          <w:bCs/>
          <w:sz w:val="32"/>
          <w:szCs w:val="32"/>
          <w:u w:val="single"/>
        </w:rPr>
      </w:pPr>
      <w:r w:rsidRPr="002439FA">
        <w:rPr>
          <w:b/>
          <w:bCs/>
          <w:sz w:val="32"/>
          <w:szCs w:val="32"/>
          <w:u w:val="single"/>
        </w:rPr>
        <w:lastRenderedPageBreak/>
        <w:t>References</w:t>
      </w:r>
    </w:p>
    <w:p w14:paraId="219E1422" w14:textId="16DB104C" w:rsidR="009B2BBF" w:rsidRDefault="009B2BBF" w:rsidP="009B2BBF">
      <w:pPr>
        <w:pStyle w:val="NormalWeb"/>
        <w:rPr>
          <w:rStyle w:val="Emphasis"/>
          <w:rFonts w:eastAsiaTheme="majorEastAsia"/>
          <w:i w:val="0"/>
          <w:iCs w:val="0"/>
        </w:rPr>
      </w:pPr>
      <w:r w:rsidRPr="00242106">
        <w:t>ARK Invest</w:t>
      </w:r>
      <w:r w:rsidR="003972C9">
        <w:t xml:space="preserve">. </w:t>
      </w:r>
      <w:r w:rsidRPr="00242106">
        <w:t>202</w:t>
      </w:r>
      <w:r w:rsidR="00887848">
        <w:t>5</w:t>
      </w:r>
      <w:r w:rsidR="003972C9">
        <w:t>.</w:t>
      </w:r>
      <w:r w:rsidRPr="00242106">
        <w:t xml:space="preserve"> </w:t>
      </w:r>
      <w:r w:rsidRPr="00242106">
        <w:rPr>
          <w:rStyle w:val="Emphasis"/>
          <w:rFonts w:eastAsiaTheme="majorEastAsia"/>
        </w:rPr>
        <w:t xml:space="preserve">Investment </w:t>
      </w:r>
      <w:r w:rsidR="00FE62D6" w:rsidRPr="00242106">
        <w:rPr>
          <w:rStyle w:val="Emphasis"/>
          <w:rFonts w:eastAsiaTheme="majorEastAsia"/>
        </w:rPr>
        <w:t>Strategies</w:t>
      </w:r>
      <w:r w:rsidRPr="00242106">
        <w:rPr>
          <w:rStyle w:val="Emphasis"/>
          <w:rFonts w:eastAsiaTheme="majorEastAsia"/>
        </w:rPr>
        <w:t>.</w:t>
      </w:r>
      <w:r w:rsidR="00FE62D6" w:rsidRPr="00242106">
        <w:rPr>
          <w:rStyle w:val="Emphasis"/>
          <w:rFonts w:eastAsiaTheme="majorEastAsia"/>
          <w:i w:val="0"/>
          <w:iCs w:val="0"/>
        </w:rPr>
        <w:t xml:space="preserve"> Retrieved on </w:t>
      </w:r>
      <w:r w:rsidR="00DC080F" w:rsidRPr="00242106">
        <w:rPr>
          <w:rStyle w:val="Emphasis"/>
          <w:rFonts w:eastAsiaTheme="majorEastAsia"/>
          <w:i w:val="0"/>
          <w:iCs w:val="0"/>
        </w:rPr>
        <w:t>08 October 2025 from https://</w:t>
      </w:r>
      <w:r w:rsidR="00DC080F" w:rsidRPr="00242106">
        <w:t xml:space="preserve"> </w:t>
      </w:r>
      <w:hyperlink r:id="rId12" w:anchor=":~:text=Investment%20Strategies,capture%20the%20majority%20of%20value" w:history="1">
        <w:r w:rsidR="003D18CE" w:rsidRPr="00242106">
          <w:rPr>
            <w:rStyle w:val="Hyperlink"/>
            <w:rFonts w:eastAsiaTheme="majorEastAsia"/>
            <w:color w:val="auto"/>
          </w:rPr>
          <w:t>www.ark-invest.com/#:~:text=Investment%20Strategies,capture%20the%20majority%20of%20value</w:t>
        </w:r>
      </w:hyperlink>
      <w:r w:rsidR="00DC080F" w:rsidRPr="00242106">
        <w:rPr>
          <w:rStyle w:val="Emphasis"/>
          <w:rFonts w:eastAsiaTheme="majorEastAsia"/>
          <w:i w:val="0"/>
          <w:iCs w:val="0"/>
        </w:rPr>
        <w:t>.</w:t>
      </w:r>
    </w:p>
    <w:p w14:paraId="5CE9CEF8" w14:textId="77777777" w:rsidR="00EF3927" w:rsidRDefault="00EF3927" w:rsidP="009B2BBF">
      <w:pPr>
        <w:pStyle w:val="NormalWeb"/>
        <w:rPr>
          <w:rStyle w:val="Emphasis"/>
          <w:rFonts w:eastAsiaTheme="majorEastAsia"/>
          <w:i w:val="0"/>
          <w:iCs w:val="0"/>
        </w:rPr>
      </w:pPr>
    </w:p>
    <w:p w14:paraId="1095EAD9" w14:textId="190726CC" w:rsidR="007F6DA2" w:rsidRDefault="007F6DA2" w:rsidP="009B2BBF">
      <w:pPr>
        <w:pStyle w:val="NormalWeb"/>
        <w:rPr>
          <w:rStyle w:val="Emphasis"/>
          <w:rFonts w:eastAsiaTheme="majorEastAsia"/>
          <w:i w:val="0"/>
          <w:iCs w:val="0"/>
        </w:rPr>
      </w:pPr>
      <w:r>
        <w:rPr>
          <w:rStyle w:val="Emphasis"/>
          <w:rFonts w:eastAsiaTheme="majorEastAsia"/>
          <w:i w:val="0"/>
          <w:iCs w:val="0"/>
        </w:rPr>
        <w:t>Glasserman, P.</w:t>
      </w:r>
      <w:r w:rsidR="003972C9">
        <w:rPr>
          <w:rStyle w:val="Emphasis"/>
          <w:rFonts w:eastAsiaTheme="majorEastAsia"/>
          <w:i w:val="0"/>
          <w:iCs w:val="0"/>
        </w:rPr>
        <w:t xml:space="preserve"> </w:t>
      </w:r>
      <w:r>
        <w:rPr>
          <w:rStyle w:val="Emphasis"/>
          <w:rFonts w:eastAsiaTheme="majorEastAsia"/>
          <w:i w:val="0"/>
          <w:iCs w:val="0"/>
        </w:rPr>
        <w:t xml:space="preserve">2004. </w:t>
      </w:r>
      <w:r>
        <w:rPr>
          <w:rStyle w:val="Emphasis"/>
          <w:rFonts w:eastAsiaTheme="majorEastAsia"/>
        </w:rPr>
        <w:t xml:space="preserve">Monte Carlo Methods in Financial Engineering. </w:t>
      </w:r>
      <w:r>
        <w:rPr>
          <w:rStyle w:val="Emphasis"/>
          <w:rFonts w:eastAsiaTheme="majorEastAsia"/>
          <w:i w:val="0"/>
          <w:iCs w:val="0"/>
        </w:rPr>
        <w:t>Spring</w:t>
      </w:r>
      <w:r w:rsidR="003E45B9">
        <w:rPr>
          <w:rStyle w:val="Emphasis"/>
          <w:rFonts w:eastAsiaTheme="majorEastAsia"/>
          <w:i w:val="0"/>
          <w:iCs w:val="0"/>
        </w:rPr>
        <w:t>er</w:t>
      </w:r>
    </w:p>
    <w:p w14:paraId="2A60A09A" w14:textId="77777777" w:rsidR="00FE4DE4" w:rsidRPr="007F6DA2" w:rsidRDefault="00FE4DE4" w:rsidP="009B2BBF">
      <w:pPr>
        <w:pStyle w:val="NormalWeb"/>
        <w:rPr>
          <w:rStyle w:val="Emphasis"/>
          <w:rFonts w:eastAsiaTheme="majorEastAsia"/>
          <w:i w:val="0"/>
          <w:iCs w:val="0"/>
        </w:rPr>
      </w:pPr>
    </w:p>
    <w:p w14:paraId="71605722" w14:textId="70680583" w:rsidR="001D79D5" w:rsidRDefault="003972C9" w:rsidP="001D79D5">
      <w:pPr>
        <w:pStyle w:val="NormalWeb"/>
      </w:pPr>
      <w:r w:rsidRPr="003972C9">
        <w:t>Grinold, Richard C., and Ronald N. Kahn. 2000. </w:t>
      </w:r>
      <w:r w:rsidRPr="003972C9">
        <w:rPr>
          <w:i/>
          <w:iCs/>
        </w:rPr>
        <w:t>Active Portfolio Management: A Quantitative Approach for Producing Superior Returns and Controlling Risk</w:t>
      </w:r>
      <w:r w:rsidRPr="003972C9">
        <w:t> (second edition). New York: McGraw Hil</w:t>
      </w:r>
    </w:p>
    <w:p w14:paraId="2D38A08A" w14:textId="77777777" w:rsidR="00EF25D1" w:rsidRDefault="00EF25D1" w:rsidP="001D79D5">
      <w:pPr>
        <w:pStyle w:val="NormalWeb"/>
        <w:rPr>
          <w:rStyle w:val="Emphasis"/>
          <w:rFonts w:eastAsiaTheme="majorEastAsia"/>
          <w:i w:val="0"/>
          <w:iCs w:val="0"/>
        </w:rPr>
      </w:pPr>
    </w:p>
    <w:p w14:paraId="475FE075" w14:textId="389C3737" w:rsidR="003E45B9" w:rsidRPr="00421A15" w:rsidRDefault="003E45B9" w:rsidP="001D79D5">
      <w:pPr>
        <w:pStyle w:val="NormalWeb"/>
        <w:rPr>
          <w:rStyle w:val="Emphasis"/>
          <w:rFonts w:eastAsiaTheme="majorEastAsia"/>
          <w:i w:val="0"/>
          <w:iCs w:val="0"/>
        </w:rPr>
      </w:pPr>
      <w:r>
        <w:rPr>
          <w:rStyle w:val="Emphasis"/>
          <w:rFonts w:eastAsiaTheme="majorEastAsia"/>
          <w:i w:val="0"/>
          <w:iCs w:val="0"/>
        </w:rPr>
        <w:t>Markowtiz, H.</w:t>
      </w:r>
      <w:r w:rsidR="00C30930">
        <w:rPr>
          <w:rStyle w:val="Emphasis"/>
          <w:rFonts w:eastAsiaTheme="majorEastAsia"/>
          <w:i w:val="0"/>
          <w:iCs w:val="0"/>
        </w:rPr>
        <w:t xml:space="preserve"> </w:t>
      </w:r>
      <w:r>
        <w:rPr>
          <w:rStyle w:val="Emphasis"/>
          <w:rFonts w:eastAsiaTheme="majorEastAsia"/>
          <w:i w:val="0"/>
          <w:iCs w:val="0"/>
        </w:rPr>
        <w:t>1952</w:t>
      </w:r>
      <w:r w:rsidR="00C30930">
        <w:rPr>
          <w:rStyle w:val="Emphasis"/>
          <w:rFonts w:eastAsiaTheme="majorEastAsia"/>
          <w:i w:val="0"/>
          <w:iCs w:val="0"/>
        </w:rPr>
        <w:t>.</w:t>
      </w:r>
      <w:r>
        <w:rPr>
          <w:rStyle w:val="Emphasis"/>
          <w:rFonts w:eastAsiaTheme="majorEastAsia"/>
          <w:i w:val="0"/>
          <w:iCs w:val="0"/>
        </w:rPr>
        <w:t xml:space="preserve"> </w:t>
      </w:r>
      <w:r w:rsidR="00421A15">
        <w:rPr>
          <w:rStyle w:val="Emphasis"/>
          <w:rFonts w:eastAsiaTheme="majorEastAsia"/>
        </w:rPr>
        <w:t xml:space="preserve">Portfolio Selection, </w:t>
      </w:r>
      <w:r w:rsidR="00421A15">
        <w:rPr>
          <w:rStyle w:val="Emphasis"/>
          <w:rFonts w:eastAsiaTheme="majorEastAsia"/>
          <w:i w:val="0"/>
          <w:iCs w:val="0"/>
        </w:rPr>
        <w:t>Journal of Finance</w:t>
      </w:r>
      <w:r w:rsidR="00F67619">
        <w:rPr>
          <w:rStyle w:val="Emphasis"/>
          <w:rFonts w:eastAsiaTheme="majorEastAsia"/>
          <w:i w:val="0"/>
          <w:iCs w:val="0"/>
        </w:rPr>
        <w:t xml:space="preserve">. </w:t>
      </w:r>
    </w:p>
    <w:p w14:paraId="0E9047CB" w14:textId="77777777" w:rsidR="00421A15" w:rsidRDefault="00421A15" w:rsidP="001D79D5">
      <w:pPr>
        <w:pStyle w:val="NormalWeb"/>
        <w:rPr>
          <w:rStyle w:val="Emphasis"/>
          <w:rFonts w:eastAsiaTheme="majorEastAsia"/>
          <w:i w:val="0"/>
          <w:iCs w:val="0"/>
        </w:rPr>
      </w:pPr>
    </w:p>
    <w:p w14:paraId="46E97DC8" w14:textId="35EB4901" w:rsidR="00B36710" w:rsidRDefault="00B36710" w:rsidP="00B36710">
      <w:pPr>
        <w:pStyle w:val="NormalWeb"/>
        <w:rPr>
          <w:rStyle w:val="Emphasis"/>
          <w:rFonts w:eastAsiaTheme="majorEastAsia"/>
          <w:i w:val="0"/>
          <w:iCs w:val="0"/>
        </w:rPr>
      </w:pPr>
      <w:r w:rsidRPr="00242106">
        <w:rPr>
          <w:rStyle w:val="Emphasis"/>
          <w:rFonts w:eastAsiaTheme="majorEastAsia"/>
          <w:i w:val="0"/>
          <w:iCs w:val="0"/>
        </w:rPr>
        <w:t>Moreira, A., Muir, T.</w:t>
      </w:r>
      <w:r w:rsidR="00C30930">
        <w:rPr>
          <w:rStyle w:val="Emphasis"/>
          <w:rFonts w:eastAsiaTheme="majorEastAsia"/>
          <w:i w:val="0"/>
          <w:iCs w:val="0"/>
        </w:rPr>
        <w:t xml:space="preserve"> </w:t>
      </w:r>
      <w:r w:rsidRPr="00242106">
        <w:rPr>
          <w:rStyle w:val="Emphasis"/>
          <w:rFonts w:eastAsiaTheme="majorEastAsia"/>
          <w:i w:val="0"/>
          <w:iCs w:val="0"/>
        </w:rPr>
        <w:t>2017</w:t>
      </w:r>
      <w:r w:rsidR="00C30930">
        <w:rPr>
          <w:rStyle w:val="Emphasis"/>
          <w:rFonts w:eastAsiaTheme="majorEastAsia"/>
          <w:i w:val="0"/>
          <w:iCs w:val="0"/>
        </w:rPr>
        <w:t>.</w:t>
      </w:r>
      <w:r w:rsidRPr="00242106">
        <w:rPr>
          <w:rStyle w:val="Emphasis"/>
          <w:rFonts w:eastAsiaTheme="majorEastAsia"/>
          <w:i w:val="0"/>
          <w:iCs w:val="0"/>
        </w:rPr>
        <w:t xml:space="preserve"> </w:t>
      </w:r>
      <w:r w:rsidRPr="00242106">
        <w:rPr>
          <w:rStyle w:val="Emphasis"/>
          <w:rFonts w:eastAsiaTheme="majorEastAsia"/>
        </w:rPr>
        <w:t>Volatility Managed Portfolios</w:t>
      </w:r>
      <w:r w:rsidRPr="00242106">
        <w:rPr>
          <w:rStyle w:val="Emphasis"/>
          <w:rFonts w:eastAsiaTheme="majorEastAsia"/>
          <w:i w:val="0"/>
          <w:iCs w:val="0"/>
        </w:rPr>
        <w:t xml:space="preserve">, Yale, Retrieved on 09 October 2025 from </w:t>
      </w:r>
      <w:hyperlink r:id="rId13" w:history="1">
        <w:r w:rsidRPr="007D5D58">
          <w:rPr>
            <w:rStyle w:val="Hyperlink"/>
            <w:rFonts w:eastAsiaTheme="majorEastAsia"/>
          </w:rPr>
          <w:t>https://papers.ssrn.com/sol3/papers.cfm?abstract_id=2659431</w:t>
        </w:r>
      </w:hyperlink>
    </w:p>
    <w:p w14:paraId="2C0E97FD" w14:textId="77777777" w:rsidR="00B36710" w:rsidRDefault="00B36710" w:rsidP="001D79D5">
      <w:pPr>
        <w:pStyle w:val="NormalWeb"/>
        <w:rPr>
          <w:rStyle w:val="Emphasis"/>
          <w:rFonts w:eastAsiaTheme="majorEastAsia"/>
          <w:i w:val="0"/>
          <w:iCs w:val="0"/>
        </w:rPr>
      </w:pPr>
    </w:p>
    <w:p w14:paraId="6C391A54" w14:textId="16EB03CE" w:rsidR="001D79D5" w:rsidRDefault="001D79D5" w:rsidP="001D79D5">
      <w:pPr>
        <w:pStyle w:val="NormalWeb"/>
      </w:pPr>
      <w:r w:rsidRPr="00242106">
        <w:rPr>
          <w:rFonts w:hAnsi="Symbol"/>
        </w:rPr>
        <w:t>S</w:t>
      </w:r>
      <w:r w:rsidRPr="00242106">
        <w:t>harpe, W. F</w:t>
      </w:r>
      <w:r w:rsidR="00C30930">
        <w:t xml:space="preserve">. </w:t>
      </w:r>
      <w:r w:rsidRPr="00242106">
        <w:t>1964</w:t>
      </w:r>
      <w:r w:rsidR="00C30930">
        <w:t>.</w:t>
      </w:r>
      <w:r w:rsidRPr="00242106">
        <w:t xml:space="preserve"> </w:t>
      </w:r>
      <w:r w:rsidRPr="00242106">
        <w:rPr>
          <w:rStyle w:val="Emphasis"/>
          <w:rFonts w:eastAsiaTheme="majorEastAsia"/>
        </w:rPr>
        <w:t>Capital Asset Prices: A Theory of Market Equilibrium under Conditions of Risk.</w:t>
      </w:r>
      <w:r w:rsidRPr="00242106">
        <w:t xml:space="preserve"> </w:t>
      </w:r>
      <w:r w:rsidRPr="00EF25D1">
        <w:rPr>
          <w:rStyle w:val="Emphasis"/>
          <w:rFonts w:eastAsiaTheme="majorEastAsia"/>
          <w:i w:val="0"/>
          <w:iCs w:val="0"/>
        </w:rPr>
        <w:t>Journal of Finance</w:t>
      </w:r>
      <w:r w:rsidR="00EF25D1">
        <w:rPr>
          <w:rStyle w:val="Emphasis"/>
          <w:rFonts w:eastAsiaTheme="majorEastAsia"/>
          <w:i w:val="0"/>
          <w:iCs w:val="0"/>
        </w:rPr>
        <w:t>.</w:t>
      </w:r>
    </w:p>
    <w:p w14:paraId="223BFD97" w14:textId="7E6F64DE" w:rsidR="00C413B7" w:rsidRPr="00630757" w:rsidRDefault="00C413B7" w:rsidP="008F2F3F">
      <w:pPr>
        <w:spacing w:line="480" w:lineRule="auto"/>
        <w:rPr>
          <w:rFonts w:ascii="Times New Roman" w:hAnsi="Times New Roman" w:cs="Times New Roman"/>
        </w:rPr>
      </w:pPr>
    </w:p>
    <w:sectPr w:rsidR="00C413B7" w:rsidRPr="00630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A4178"/>
    <w:multiLevelType w:val="multilevel"/>
    <w:tmpl w:val="A15CE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CD6220"/>
    <w:multiLevelType w:val="multilevel"/>
    <w:tmpl w:val="575CF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FB1BBB"/>
    <w:multiLevelType w:val="multilevel"/>
    <w:tmpl w:val="F5265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905E0C"/>
    <w:multiLevelType w:val="multilevel"/>
    <w:tmpl w:val="65A8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FF7E76"/>
    <w:multiLevelType w:val="multilevel"/>
    <w:tmpl w:val="B282B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604BCF"/>
    <w:multiLevelType w:val="multilevel"/>
    <w:tmpl w:val="2A16D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1707264">
    <w:abstractNumId w:val="2"/>
  </w:num>
  <w:num w:numId="2" w16cid:durableId="1278871884">
    <w:abstractNumId w:val="1"/>
  </w:num>
  <w:num w:numId="3" w16cid:durableId="414207736">
    <w:abstractNumId w:val="5"/>
  </w:num>
  <w:num w:numId="4" w16cid:durableId="1996951776">
    <w:abstractNumId w:val="3"/>
  </w:num>
  <w:num w:numId="5" w16cid:durableId="829948839">
    <w:abstractNumId w:val="0"/>
  </w:num>
  <w:num w:numId="6" w16cid:durableId="16754508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757"/>
    <w:rsid w:val="00000BAB"/>
    <w:rsid w:val="00000D82"/>
    <w:rsid w:val="000016C2"/>
    <w:rsid w:val="000022E3"/>
    <w:rsid w:val="00004C6D"/>
    <w:rsid w:val="000109FB"/>
    <w:rsid w:val="00010A1B"/>
    <w:rsid w:val="0001487B"/>
    <w:rsid w:val="000222CD"/>
    <w:rsid w:val="00023BEF"/>
    <w:rsid w:val="00024649"/>
    <w:rsid w:val="00024E03"/>
    <w:rsid w:val="000250D6"/>
    <w:rsid w:val="000279C9"/>
    <w:rsid w:val="00031808"/>
    <w:rsid w:val="000320B5"/>
    <w:rsid w:val="00035C60"/>
    <w:rsid w:val="00042105"/>
    <w:rsid w:val="00052210"/>
    <w:rsid w:val="000563A7"/>
    <w:rsid w:val="00063859"/>
    <w:rsid w:val="00064D25"/>
    <w:rsid w:val="000672FB"/>
    <w:rsid w:val="00072184"/>
    <w:rsid w:val="00074A08"/>
    <w:rsid w:val="000779C2"/>
    <w:rsid w:val="00080370"/>
    <w:rsid w:val="000816EB"/>
    <w:rsid w:val="000831EC"/>
    <w:rsid w:val="00083927"/>
    <w:rsid w:val="0008592D"/>
    <w:rsid w:val="00086731"/>
    <w:rsid w:val="00093710"/>
    <w:rsid w:val="00093BC8"/>
    <w:rsid w:val="000945BA"/>
    <w:rsid w:val="00094BCB"/>
    <w:rsid w:val="000958FD"/>
    <w:rsid w:val="00097687"/>
    <w:rsid w:val="000A0F4F"/>
    <w:rsid w:val="000A45C8"/>
    <w:rsid w:val="000A5083"/>
    <w:rsid w:val="000B0A7D"/>
    <w:rsid w:val="000B3055"/>
    <w:rsid w:val="000B4334"/>
    <w:rsid w:val="000B4373"/>
    <w:rsid w:val="000B710C"/>
    <w:rsid w:val="000B7469"/>
    <w:rsid w:val="000C04B1"/>
    <w:rsid w:val="000C57D3"/>
    <w:rsid w:val="000D4D9D"/>
    <w:rsid w:val="000D6B35"/>
    <w:rsid w:val="000E2BA7"/>
    <w:rsid w:val="000E2E89"/>
    <w:rsid w:val="000E6F47"/>
    <w:rsid w:val="000F38BB"/>
    <w:rsid w:val="000F483F"/>
    <w:rsid w:val="000F547F"/>
    <w:rsid w:val="001008AA"/>
    <w:rsid w:val="001029A8"/>
    <w:rsid w:val="001168AE"/>
    <w:rsid w:val="00123B68"/>
    <w:rsid w:val="001262E1"/>
    <w:rsid w:val="00147EF0"/>
    <w:rsid w:val="001504B9"/>
    <w:rsid w:val="00154FB6"/>
    <w:rsid w:val="0015609F"/>
    <w:rsid w:val="001600DF"/>
    <w:rsid w:val="001602E8"/>
    <w:rsid w:val="0016470A"/>
    <w:rsid w:val="00170A0A"/>
    <w:rsid w:val="001716CE"/>
    <w:rsid w:val="00171E3C"/>
    <w:rsid w:val="00172A9D"/>
    <w:rsid w:val="001764EB"/>
    <w:rsid w:val="0018310F"/>
    <w:rsid w:val="001842A1"/>
    <w:rsid w:val="00186241"/>
    <w:rsid w:val="001871C3"/>
    <w:rsid w:val="001875CD"/>
    <w:rsid w:val="001952BC"/>
    <w:rsid w:val="00196BDB"/>
    <w:rsid w:val="00197BAD"/>
    <w:rsid w:val="001A1004"/>
    <w:rsid w:val="001A35F0"/>
    <w:rsid w:val="001A6147"/>
    <w:rsid w:val="001B0D03"/>
    <w:rsid w:val="001C02A4"/>
    <w:rsid w:val="001C098F"/>
    <w:rsid w:val="001C1DE2"/>
    <w:rsid w:val="001C3FF4"/>
    <w:rsid w:val="001C7203"/>
    <w:rsid w:val="001D2499"/>
    <w:rsid w:val="001D3E77"/>
    <w:rsid w:val="001D4646"/>
    <w:rsid w:val="001D55BE"/>
    <w:rsid w:val="001D79D5"/>
    <w:rsid w:val="001E0CDC"/>
    <w:rsid w:val="001E54D2"/>
    <w:rsid w:val="001E6C77"/>
    <w:rsid w:val="001F79A1"/>
    <w:rsid w:val="0020482D"/>
    <w:rsid w:val="002068AD"/>
    <w:rsid w:val="002071F1"/>
    <w:rsid w:val="002072F0"/>
    <w:rsid w:val="0021254C"/>
    <w:rsid w:val="002135D6"/>
    <w:rsid w:val="002140D0"/>
    <w:rsid w:val="002170D0"/>
    <w:rsid w:val="00217AE6"/>
    <w:rsid w:val="002241AC"/>
    <w:rsid w:val="00225C59"/>
    <w:rsid w:val="00227C58"/>
    <w:rsid w:val="0023568D"/>
    <w:rsid w:val="002359D3"/>
    <w:rsid w:val="00241499"/>
    <w:rsid w:val="00242106"/>
    <w:rsid w:val="00242A54"/>
    <w:rsid w:val="00243FB2"/>
    <w:rsid w:val="00244CFA"/>
    <w:rsid w:val="002455D1"/>
    <w:rsid w:val="00245784"/>
    <w:rsid w:val="00247802"/>
    <w:rsid w:val="00251645"/>
    <w:rsid w:val="00251D18"/>
    <w:rsid w:val="00252115"/>
    <w:rsid w:val="0025684E"/>
    <w:rsid w:val="00257B83"/>
    <w:rsid w:val="00257BF9"/>
    <w:rsid w:val="0026513F"/>
    <w:rsid w:val="002717CD"/>
    <w:rsid w:val="0027728C"/>
    <w:rsid w:val="00284E2E"/>
    <w:rsid w:val="0028699A"/>
    <w:rsid w:val="002935F5"/>
    <w:rsid w:val="002975EB"/>
    <w:rsid w:val="002A00EE"/>
    <w:rsid w:val="002A4148"/>
    <w:rsid w:val="002A41B6"/>
    <w:rsid w:val="002B279F"/>
    <w:rsid w:val="002B3CE4"/>
    <w:rsid w:val="002B5EAE"/>
    <w:rsid w:val="002C5146"/>
    <w:rsid w:val="002D420F"/>
    <w:rsid w:val="002E6497"/>
    <w:rsid w:val="002F4C12"/>
    <w:rsid w:val="003026F6"/>
    <w:rsid w:val="00302CE1"/>
    <w:rsid w:val="0030319D"/>
    <w:rsid w:val="003064FA"/>
    <w:rsid w:val="0030653E"/>
    <w:rsid w:val="00307A00"/>
    <w:rsid w:val="00311D10"/>
    <w:rsid w:val="003141A2"/>
    <w:rsid w:val="00321B37"/>
    <w:rsid w:val="003248E9"/>
    <w:rsid w:val="00326FE8"/>
    <w:rsid w:val="003272CB"/>
    <w:rsid w:val="00330876"/>
    <w:rsid w:val="0033103E"/>
    <w:rsid w:val="00333AEC"/>
    <w:rsid w:val="00334751"/>
    <w:rsid w:val="00336F5A"/>
    <w:rsid w:val="00342E27"/>
    <w:rsid w:val="003467A3"/>
    <w:rsid w:val="003512D6"/>
    <w:rsid w:val="0035161C"/>
    <w:rsid w:val="00351920"/>
    <w:rsid w:val="00352376"/>
    <w:rsid w:val="003547A8"/>
    <w:rsid w:val="00357515"/>
    <w:rsid w:val="00360480"/>
    <w:rsid w:val="00370439"/>
    <w:rsid w:val="003722BF"/>
    <w:rsid w:val="003778EF"/>
    <w:rsid w:val="00377B4D"/>
    <w:rsid w:val="003832C6"/>
    <w:rsid w:val="0038449E"/>
    <w:rsid w:val="00386D69"/>
    <w:rsid w:val="003916D2"/>
    <w:rsid w:val="00391B78"/>
    <w:rsid w:val="0039336B"/>
    <w:rsid w:val="003972C9"/>
    <w:rsid w:val="003B6A9F"/>
    <w:rsid w:val="003B6EEA"/>
    <w:rsid w:val="003C4BDE"/>
    <w:rsid w:val="003C7297"/>
    <w:rsid w:val="003C7AB1"/>
    <w:rsid w:val="003D18CE"/>
    <w:rsid w:val="003D5B87"/>
    <w:rsid w:val="003E14C5"/>
    <w:rsid w:val="003E45B9"/>
    <w:rsid w:val="003F4D7F"/>
    <w:rsid w:val="00400A75"/>
    <w:rsid w:val="0040246D"/>
    <w:rsid w:val="00403D9B"/>
    <w:rsid w:val="00403EE3"/>
    <w:rsid w:val="00405D92"/>
    <w:rsid w:val="004129ED"/>
    <w:rsid w:val="00415605"/>
    <w:rsid w:val="00421A15"/>
    <w:rsid w:val="004236A0"/>
    <w:rsid w:val="0042419D"/>
    <w:rsid w:val="00424C72"/>
    <w:rsid w:val="0042607D"/>
    <w:rsid w:val="0043572A"/>
    <w:rsid w:val="00435C92"/>
    <w:rsid w:val="00443AE4"/>
    <w:rsid w:val="00444080"/>
    <w:rsid w:val="00446BD6"/>
    <w:rsid w:val="00452107"/>
    <w:rsid w:val="00462A94"/>
    <w:rsid w:val="004630A1"/>
    <w:rsid w:val="004635A9"/>
    <w:rsid w:val="00466E0C"/>
    <w:rsid w:val="00467959"/>
    <w:rsid w:val="00471000"/>
    <w:rsid w:val="00476FA2"/>
    <w:rsid w:val="00477D19"/>
    <w:rsid w:val="0048075C"/>
    <w:rsid w:val="00481230"/>
    <w:rsid w:val="00485014"/>
    <w:rsid w:val="00493066"/>
    <w:rsid w:val="00497120"/>
    <w:rsid w:val="004A0582"/>
    <w:rsid w:val="004A130D"/>
    <w:rsid w:val="004A3123"/>
    <w:rsid w:val="004A38FB"/>
    <w:rsid w:val="004A4663"/>
    <w:rsid w:val="004A470A"/>
    <w:rsid w:val="004B6986"/>
    <w:rsid w:val="004C1403"/>
    <w:rsid w:val="004C3C6A"/>
    <w:rsid w:val="004C7343"/>
    <w:rsid w:val="004D1C28"/>
    <w:rsid w:val="004D412C"/>
    <w:rsid w:val="004E0D4E"/>
    <w:rsid w:val="004E58CA"/>
    <w:rsid w:val="004E59BA"/>
    <w:rsid w:val="004E6014"/>
    <w:rsid w:val="004F0A17"/>
    <w:rsid w:val="004F0CBE"/>
    <w:rsid w:val="004F1677"/>
    <w:rsid w:val="004F1748"/>
    <w:rsid w:val="004F2BCB"/>
    <w:rsid w:val="004F2F33"/>
    <w:rsid w:val="004F6870"/>
    <w:rsid w:val="004F7A02"/>
    <w:rsid w:val="005020FD"/>
    <w:rsid w:val="005022B8"/>
    <w:rsid w:val="00512A29"/>
    <w:rsid w:val="00513FAB"/>
    <w:rsid w:val="00515421"/>
    <w:rsid w:val="00516488"/>
    <w:rsid w:val="00521CD4"/>
    <w:rsid w:val="005278CD"/>
    <w:rsid w:val="00533445"/>
    <w:rsid w:val="005360F8"/>
    <w:rsid w:val="00540E88"/>
    <w:rsid w:val="00542EDC"/>
    <w:rsid w:val="00544BD5"/>
    <w:rsid w:val="00544C70"/>
    <w:rsid w:val="00545170"/>
    <w:rsid w:val="005464DB"/>
    <w:rsid w:val="00550739"/>
    <w:rsid w:val="0055097A"/>
    <w:rsid w:val="005535E2"/>
    <w:rsid w:val="005536E8"/>
    <w:rsid w:val="0055408A"/>
    <w:rsid w:val="00557E76"/>
    <w:rsid w:val="0056555D"/>
    <w:rsid w:val="00571AF5"/>
    <w:rsid w:val="00576162"/>
    <w:rsid w:val="005816D0"/>
    <w:rsid w:val="005855DB"/>
    <w:rsid w:val="005902E5"/>
    <w:rsid w:val="005902F3"/>
    <w:rsid w:val="005A1103"/>
    <w:rsid w:val="005A2E16"/>
    <w:rsid w:val="005A368F"/>
    <w:rsid w:val="005A652A"/>
    <w:rsid w:val="005A6B92"/>
    <w:rsid w:val="005B0BB0"/>
    <w:rsid w:val="005B1677"/>
    <w:rsid w:val="005B1833"/>
    <w:rsid w:val="005B2DF0"/>
    <w:rsid w:val="005B31CB"/>
    <w:rsid w:val="005B39C3"/>
    <w:rsid w:val="005B56C2"/>
    <w:rsid w:val="005B5EA7"/>
    <w:rsid w:val="005C472E"/>
    <w:rsid w:val="005C68B0"/>
    <w:rsid w:val="005D33D9"/>
    <w:rsid w:val="005D763A"/>
    <w:rsid w:val="005E0B86"/>
    <w:rsid w:val="005E4D27"/>
    <w:rsid w:val="005F3434"/>
    <w:rsid w:val="005F43D3"/>
    <w:rsid w:val="005F6D09"/>
    <w:rsid w:val="00605379"/>
    <w:rsid w:val="006129B9"/>
    <w:rsid w:val="00623647"/>
    <w:rsid w:val="00630757"/>
    <w:rsid w:val="006322C5"/>
    <w:rsid w:val="00636FCC"/>
    <w:rsid w:val="006411E3"/>
    <w:rsid w:val="006421DF"/>
    <w:rsid w:val="00650914"/>
    <w:rsid w:val="00650B9F"/>
    <w:rsid w:val="00653114"/>
    <w:rsid w:val="00654875"/>
    <w:rsid w:val="00654E2B"/>
    <w:rsid w:val="00657D94"/>
    <w:rsid w:val="00662CDE"/>
    <w:rsid w:val="006644D3"/>
    <w:rsid w:val="0066571D"/>
    <w:rsid w:val="0066593F"/>
    <w:rsid w:val="0066685E"/>
    <w:rsid w:val="006707B0"/>
    <w:rsid w:val="00671CDB"/>
    <w:rsid w:val="006722B6"/>
    <w:rsid w:val="00681891"/>
    <w:rsid w:val="00681AF5"/>
    <w:rsid w:val="00683B4F"/>
    <w:rsid w:val="0069015B"/>
    <w:rsid w:val="0069645F"/>
    <w:rsid w:val="006971A9"/>
    <w:rsid w:val="006B3CC4"/>
    <w:rsid w:val="006B4F58"/>
    <w:rsid w:val="006B7DFD"/>
    <w:rsid w:val="006C36AA"/>
    <w:rsid w:val="006C5BC9"/>
    <w:rsid w:val="006C67E3"/>
    <w:rsid w:val="006D0171"/>
    <w:rsid w:val="006D232C"/>
    <w:rsid w:val="006D4025"/>
    <w:rsid w:val="006D7DFC"/>
    <w:rsid w:val="006E3B76"/>
    <w:rsid w:val="006E6973"/>
    <w:rsid w:val="006E7B9B"/>
    <w:rsid w:val="006F2CB5"/>
    <w:rsid w:val="006F3F52"/>
    <w:rsid w:val="007018F2"/>
    <w:rsid w:val="00702307"/>
    <w:rsid w:val="00703903"/>
    <w:rsid w:val="00703CA2"/>
    <w:rsid w:val="0071137C"/>
    <w:rsid w:val="00723C31"/>
    <w:rsid w:val="007277DC"/>
    <w:rsid w:val="00740F89"/>
    <w:rsid w:val="00750F4E"/>
    <w:rsid w:val="00751E5E"/>
    <w:rsid w:val="00752F7A"/>
    <w:rsid w:val="00753189"/>
    <w:rsid w:val="0076167A"/>
    <w:rsid w:val="007624FC"/>
    <w:rsid w:val="00762A4C"/>
    <w:rsid w:val="00763D4F"/>
    <w:rsid w:val="007701AA"/>
    <w:rsid w:val="007741A8"/>
    <w:rsid w:val="007745D0"/>
    <w:rsid w:val="00775A60"/>
    <w:rsid w:val="00777970"/>
    <w:rsid w:val="00787553"/>
    <w:rsid w:val="007875C7"/>
    <w:rsid w:val="007901BF"/>
    <w:rsid w:val="0079040E"/>
    <w:rsid w:val="00791FD4"/>
    <w:rsid w:val="007926F0"/>
    <w:rsid w:val="00793076"/>
    <w:rsid w:val="00793B67"/>
    <w:rsid w:val="00794142"/>
    <w:rsid w:val="007A33A2"/>
    <w:rsid w:val="007A49EA"/>
    <w:rsid w:val="007A54F8"/>
    <w:rsid w:val="007A736E"/>
    <w:rsid w:val="007B01E2"/>
    <w:rsid w:val="007B1DC3"/>
    <w:rsid w:val="007B3084"/>
    <w:rsid w:val="007B32FD"/>
    <w:rsid w:val="007B5C4E"/>
    <w:rsid w:val="007C233D"/>
    <w:rsid w:val="007C5A3B"/>
    <w:rsid w:val="007E01D3"/>
    <w:rsid w:val="007F02FB"/>
    <w:rsid w:val="007F590B"/>
    <w:rsid w:val="007F67BA"/>
    <w:rsid w:val="007F6DA2"/>
    <w:rsid w:val="00801A76"/>
    <w:rsid w:val="008029DE"/>
    <w:rsid w:val="0081091F"/>
    <w:rsid w:val="00814250"/>
    <w:rsid w:val="00822829"/>
    <w:rsid w:val="008276A0"/>
    <w:rsid w:val="008330FB"/>
    <w:rsid w:val="00854F3D"/>
    <w:rsid w:val="008609C3"/>
    <w:rsid w:val="00860C63"/>
    <w:rsid w:val="0086137C"/>
    <w:rsid w:val="00877997"/>
    <w:rsid w:val="00882173"/>
    <w:rsid w:val="008836ED"/>
    <w:rsid w:val="008845B9"/>
    <w:rsid w:val="00884E4A"/>
    <w:rsid w:val="00887848"/>
    <w:rsid w:val="00893082"/>
    <w:rsid w:val="00894D5A"/>
    <w:rsid w:val="00895ABE"/>
    <w:rsid w:val="00897F82"/>
    <w:rsid w:val="008A140C"/>
    <w:rsid w:val="008A33AA"/>
    <w:rsid w:val="008A65BD"/>
    <w:rsid w:val="008A726C"/>
    <w:rsid w:val="008B09BF"/>
    <w:rsid w:val="008B1DD1"/>
    <w:rsid w:val="008B3131"/>
    <w:rsid w:val="008C0193"/>
    <w:rsid w:val="008C1213"/>
    <w:rsid w:val="008C738A"/>
    <w:rsid w:val="008C7A45"/>
    <w:rsid w:val="008D19E4"/>
    <w:rsid w:val="008D2EAA"/>
    <w:rsid w:val="008E3EE2"/>
    <w:rsid w:val="008E4BD9"/>
    <w:rsid w:val="008E4EEE"/>
    <w:rsid w:val="008E5B20"/>
    <w:rsid w:val="008E603C"/>
    <w:rsid w:val="008E7DC0"/>
    <w:rsid w:val="008F2F3F"/>
    <w:rsid w:val="008F2FA2"/>
    <w:rsid w:val="008F499F"/>
    <w:rsid w:val="0090014A"/>
    <w:rsid w:val="00910FBD"/>
    <w:rsid w:val="00913034"/>
    <w:rsid w:val="00914D39"/>
    <w:rsid w:val="00915D2C"/>
    <w:rsid w:val="00916C35"/>
    <w:rsid w:val="009177E6"/>
    <w:rsid w:val="00921308"/>
    <w:rsid w:val="00921EED"/>
    <w:rsid w:val="0092623E"/>
    <w:rsid w:val="00927309"/>
    <w:rsid w:val="00931399"/>
    <w:rsid w:val="0093350F"/>
    <w:rsid w:val="00933840"/>
    <w:rsid w:val="00934A8A"/>
    <w:rsid w:val="0093798D"/>
    <w:rsid w:val="0094539E"/>
    <w:rsid w:val="009550B6"/>
    <w:rsid w:val="00955E75"/>
    <w:rsid w:val="00961B0D"/>
    <w:rsid w:val="00962975"/>
    <w:rsid w:val="00970CAC"/>
    <w:rsid w:val="00971D57"/>
    <w:rsid w:val="00971F04"/>
    <w:rsid w:val="00972017"/>
    <w:rsid w:val="00973109"/>
    <w:rsid w:val="00974A35"/>
    <w:rsid w:val="00983293"/>
    <w:rsid w:val="00996861"/>
    <w:rsid w:val="009A2A02"/>
    <w:rsid w:val="009A3942"/>
    <w:rsid w:val="009A3EFF"/>
    <w:rsid w:val="009A3F96"/>
    <w:rsid w:val="009A42A4"/>
    <w:rsid w:val="009A5EB8"/>
    <w:rsid w:val="009B2BBF"/>
    <w:rsid w:val="009B711F"/>
    <w:rsid w:val="009B7344"/>
    <w:rsid w:val="009C6272"/>
    <w:rsid w:val="009C6C6A"/>
    <w:rsid w:val="009D3ABC"/>
    <w:rsid w:val="009D4871"/>
    <w:rsid w:val="009E5306"/>
    <w:rsid w:val="009E6F9D"/>
    <w:rsid w:val="009F00DC"/>
    <w:rsid w:val="009F2D81"/>
    <w:rsid w:val="009F4589"/>
    <w:rsid w:val="009F6D5E"/>
    <w:rsid w:val="009F7746"/>
    <w:rsid w:val="00A02B75"/>
    <w:rsid w:val="00A06AD3"/>
    <w:rsid w:val="00A17E70"/>
    <w:rsid w:val="00A225C4"/>
    <w:rsid w:val="00A240CB"/>
    <w:rsid w:val="00A2417C"/>
    <w:rsid w:val="00A2766B"/>
    <w:rsid w:val="00A319E1"/>
    <w:rsid w:val="00A36378"/>
    <w:rsid w:val="00A40478"/>
    <w:rsid w:val="00A438EB"/>
    <w:rsid w:val="00A43FA7"/>
    <w:rsid w:val="00A46CD2"/>
    <w:rsid w:val="00A47C33"/>
    <w:rsid w:val="00A527E3"/>
    <w:rsid w:val="00A61051"/>
    <w:rsid w:val="00A612C8"/>
    <w:rsid w:val="00A653EA"/>
    <w:rsid w:val="00A65E19"/>
    <w:rsid w:val="00A66840"/>
    <w:rsid w:val="00A66EB8"/>
    <w:rsid w:val="00A73965"/>
    <w:rsid w:val="00A73E85"/>
    <w:rsid w:val="00A80376"/>
    <w:rsid w:val="00A82D53"/>
    <w:rsid w:val="00A8639D"/>
    <w:rsid w:val="00A87CD8"/>
    <w:rsid w:val="00AA273D"/>
    <w:rsid w:val="00AA315A"/>
    <w:rsid w:val="00AA32EF"/>
    <w:rsid w:val="00AA3D3F"/>
    <w:rsid w:val="00AA7649"/>
    <w:rsid w:val="00AB2EDB"/>
    <w:rsid w:val="00AB396C"/>
    <w:rsid w:val="00AB733B"/>
    <w:rsid w:val="00AC0CD9"/>
    <w:rsid w:val="00AC2BB5"/>
    <w:rsid w:val="00AD0364"/>
    <w:rsid w:val="00AD3AA6"/>
    <w:rsid w:val="00AD5881"/>
    <w:rsid w:val="00AD7137"/>
    <w:rsid w:val="00AF1B03"/>
    <w:rsid w:val="00AF5339"/>
    <w:rsid w:val="00B01E43"/>
    <w:rsid w:val="00B01F72"/>
    <w:rsid w:val="00B06893"/>
    <w:rsid w:val="00B10206"/>
    <w:rsid w:val="00B127E4"/>
    <w:rsid w:val="00B1518A"/>
    <w:rsid w:val="00B21F19"/>
    <w:rsid w:val="00B228C2"/>
    <w:rsid w:val="00B3178D"/>
    <w:rsid w:val="00B339B6"/>
    <w:rsid w:val="00B340B4"/>
    <w:rsid w:val="00B36601"/>
    <w:rsid w:val="00B36710"/>
    <w:rsid w:val="00B41D42"/>
    <w:rsid w:val="00B45F3A"/>
    <w:rsid w:val="00B468EE"/>
    <w:rsid w:val="00B5012E"/>
    <w:rsid w:val="00B5553E"/>
    <w:rsid w:val="00B563CF"/>
    <w:rsid w:val="00B64C10"/>
    <w:rsid w:val="00B70B94"/>
    <w:rsid w:val="00B70E03"/>
    <w:rsid w:val="00B73C4E"/>
    <w:rsid w:val="00B81F5D"/>
    <w:rsid w:val="00B82E9E"/>
    <w:rsid w:val="00B87CBE"/>
    <w:rsid w:val="00B91266"/>
    <w:rsid w:val="00B934F4"/>
    <w:rsid w:val="00B938CF"/>
    <w:rsid w:val="00B959A3"/>
    <w:rsid w:val="00B95BCD"/>
    <w:rsid w:val="00B975E3"/>
    <w:rsid w:val="00BA1189"/>
    <w:rsid w:val="00BA50F6"/>
    <w:rsid w:val="00BB5D21"/>
    <w:rsid w:val="00BB5E1B"/>
    <w:rsid w:val="00BC2C87"/>
    <w:rsid w:val="00BD177A"/>
    <w:rsid w:val="00BD346A"/>
    <w:rsid w:val="00BD476C"/>
    <w:rsid w:val="00BD6BD1"/>
    <w:rsid w:val="00BE0147"/>
    <w:rsid w:val="00BE0C0C"/>
    <w:rsid w:val="00BF00C7"/>
    <w:rsid w:val="00BF0F0D"/>
    <w:rsid w:val="00BF12A5"/>
    <w:rsid w:val="00BF7570"/>
    <w:rsid w:val="00BF79EB"/>
    <w:rsid w:val="00C05A92"/>
    <w:rsid w:val="00C0691C"/>
    <w:rsid w:val="00C175BC"/>
    <w:rsid w:val="00C21E87"/>
    <w:rsid w:val="00C23D9F"/>
    <w:rsid w:val="00C24EFB"/>
    <w:rsid w:val="00C30930"/>
    <w:rsid w:val="00C37ABD"/>
    <w:rsid w:val="00C413B7"/>
    <w:rsid w:val="00C46FCF"/>
    <w:rsid w:val="00C51167"/>
    <w:rsid w:val="00C6030D"/>
    <w:rsid w:val="00C711CC"/>
    <w:rsid w:val="00C752A6"/>
    <w:rsid w:val="00C7638F"/>
    <w:rsid w:val="00C76DA8"/>
    <w:rsid w:val="00C83B7B"/>
    <w:rsid w:val="00C8649B"/>
    <w:rsid w:val="00C9311B"/>
    <w:rsid w:val="00CB141D"/>
    <w:rsid w:val="00CB5E8B"/>
    <w:rsid w:val="00CD37E0"/>
    <w:rsid w:val="00CE0A4A"/>
    <w:rsid w:val="00CE13B3"/>
    <w:rsid w:val="00CE3836"/>
    <w:rsid w:val="00CF0394"/>
    <w:rsid w:val="00CF150E"/>
    <w:rsid w:val="00CF525F"/>
    <w:rsid w:val="00D01D2A"/>
    <w:rsid w:val="00D01DC9"/>
    <w:rsid w:val="00D022DD"/>
    <w:rsid w:val="00D0450A"/>
    <w:rsid w:val="00D16ABC"/>
    <w:rsid w:val="00D3162A"/>
    <w:rsid w:val="00D3235C"/>
    <w:rsid w:val="00D333F5"/>
    <w:rsid w:val="00D33DA4"/>
    <w:rsid w:val="00D35392"/>
    <w:rsid w:val="00D437AE"/>
    <w:rsid w:val="00D47FE9"/>
    <w:rsid w:val="00D5047A"/>
    <w:rsid w:val="00D511AC"/>
    <w:rsid w:val="00D51E63"/>
    <w:rsid w:val="00D5471F"/>
    <w:rsid w:val="00D56715"/>
    <w:rsid w:val="00D62DF2"/>
    <w:rsid w:val="00D647F4"/>
    <w:rsid w:val="00D64E30"/>
    <w:rsid w:val="00D65790"/>
    <w:rsid w:val="00D86AEA"/>
    <w:rsid w:val="00D95EB6"/>
    <w:rsid w:val="00D962F3"/>
    <w:rsid w:val="00DA3154"/>
    <w:rsid w:val="00DA3DBE"/>
    <w:rsid w:val="00DA5C0B"/>
    <w:rsid w:val="00DB3132"/>
    <w:rsid w:val="00DB46E2"/>
    <w:rsid w:val="00DB752D"/>
    <w:rsid w:val="00DB7932"/>
    <w:rsid w:val="00DC028B"/>
    <w:rsid w:val="00DC080F"/>
    <w:rsid w:val="00DC3B1B"/>
    <w:rsid w:val="00DC3ECC"/>
    <w:rsid w:val="00DD1FDE"/>
    <w:rsid w:val="00DD69A6"/>
    <w:rsid w:val="00DD6EA9"/>
    <w:rsid w:val="00DE11F1"/>
    <w:rsid w:val="00DE6577"/>
    <w:rsid w:val="00DF3C12"/>
    <w:rsid w:val="00DF47DC"/>
    <w:rsid w:val="00DF4AE5"/>
    <w:rsid w:val="00DF51BC"/>
    <w:rsid w:val="00DF6981"/>
    <w:rsid w:val="00E01609"/>
    <w:rsid w:val="00E02210"/>
    <w:rsid w:val="00E040C1"/>
    <w:rsid w:val="00E052A0"/>
    <w:rsid w:val="00E05A10"/>
    <w:rsid w:val="00E106B7"/>
    <w:rsid w:val="00E129DC"/>
    <w:rsid w:val="00E21D2B"/>
    <w:rsid w:val="00E21E88"/>
    <w:rsid w:val="00E24B72"/>
    <w:rsid w:val="00E273F2"/>
    <w:rsid w:val="00E31898"/>
    <w:rsid w:val="00E33D36"/>
    <w:rsid w:val="00E3451B"/>
    <w:rsid w:val="00E4263E"/>
    <w:rsid w:val="00E42F6C"/>
    <w:rsid w:val="00E45BFB"/>
    <w:rsid w:val="00E52DEF"/>
    <w:rsid w:val="00E55741"/>
    <w:rsid w:val="00E560E7"/>
    <w:rsid w:val="00E56723"/>
    <w:rsid w:val="00E61872"/>
    <w:rsid w:val="00E62139"/>
    <w:rsid w:val="00E70138"/>
    <w:rsid w:val="00E70751"/>
    <w:rsid w:val="00E724CB"/>
    <w:rsid w:val="00E8135F"/>
    <w:rsid w:val="00E81F10"/>
    <w:rsid w:val="00E82788"/>
    <w:rsid w:val="00E82950"/>
    <w:rsid w:val="00E85D29"/>
    <w:rsid w:val="00E92666"/>
    <w:rsid w:val="00E92D0B"/>
    <w:rsid w:val="00E96773"/>
    <w:rsid w:val="00EA37B4"/>
    <w:rsid w:val="00EA5FAA"/>
    <w:rsid w:val="00EB384E"/>
    <w:rsid w:val="00EB4C40"/>
    <w:rsid w:val="00EC4751"/>
    <w:rsid w:val="00ED150F"/>
    <w:rsid w:val="00ED2EE5"/>
    <w:rsid w:val="00ED56E0"/>
    <w:rsid w:val="00ED644E"/>
    <w:rsid w:val="00EE0625"/>
    <w:rsid w:val="00EE0673"/>
    <w:rsid w:val="00EE36E3"/>
    <w:rsid w:val="00EE3AE1"/>
    <w:rsid w:val="00EE54CA"/>
    <w:rsid w:val="00EF25D1"/>
    <w:rsid w:val="00EF3927"/>
    <w:rsid w:val="00F020FB"/>
    <w:rsid w:val="00F035D5"/>
    <w:rsid w:val="00F07D46"/>
    <w:rsid w:val="00F1631F"/>
    <w:rsid w:val="00F17FB8"/>
    <w:rsid w:val="00F20C97"/>
    <w:rsid w:val="00F24EA9"/>
    <w:rsid w:val="00F25376"/>
    <w:rsid w:val="00F5596E"/>
    <w:rsid w:val="00F57ED0"/>
    <w:rsid w:val="00F60C2E"/>
    <w:rsid w:val="00F621F3"/>
    <w:rsid w:val="00F64052"/>
    <w:rsid w:val="00F67619"/>
    <w:rsid w:val="00F734C0"/>
    <w:rsid w:val="00F75F90"/>
    <w:rsid w:val="00F76BF5"/>
    <w:rsid w:val="00F90644"/>
    <w:rsid w:val="00FA289E"/>
    <w:rsid w:val="00FA7524"/>
    <w:rsid w:val="00FA786A"/>
    <w:rsid w:val="00FB6F43"/>
    <w:rsid w:val="00FB793F"/>
    <w:rsid w:val="00FC07E2"/>
    <w:rsid w:val="00FC189A"/>
    <w:rsid w:val="00FC6B15"/>
    <w:rsid w:val="00FD0247"/>
    <w:rsid w:val="00FD0676"/>
    <w:rsid w:val="00FD5206"/>
    <w:rsid w:val="00FE03CC"/>
    <w:rsid w:val="00FE4DE4"/>
    <w:rsid w:val="00FE62D6"/>
    <w:rsid w:val="00FF2C80"/>
    <w:rsid w:val="00FF5388"/>
    <w:rsid w:val="00FF6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1FCAB"/>
  <w15:chartTrackingRefBased/>
  <w15:docId w15:val="{05A39582-C8DA-4CA4-8411-B6F32E8F6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757"/>
  </w:style>
  <w:style w:type="paragraph" w:styleId="Heading1">
    <w:name w:val="heading 1"/>
    <w:basedOn w:val="Normal"/>
    <w:next w:val="Normal"/>
    <w:link w:val="Heading1Char"/>
    <w:uiPriority w:val="9"/>
    <w:qFormat/>
    <w:rsid w:val="006307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07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07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07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07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07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07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07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07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7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07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07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07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07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07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07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07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0757"/>
    <w:rPr>
      <w:rFonts w:eastAsiaTheme="majorEastAsia" w:cstheme="majorBidi"/>
      <w:color w:val="272727" w:themeColor="text1" w:themeTint="D8"/>
    </w:rPr>
  </w:style>
  <w:style w:type="paragraph" w:styleId="Title">
    <w:name w:val="Title"/>
    <w:basedOn w:val="Normal"/>
    <w:next w:val="Normal"/>
    <w:link w:val="TitleChar"/>
    <w:uiPriority w:val="10"/>
    <w:qFormat/>
    <w:rsid w:val="006307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7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7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07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0757"/>
    <w:pPr>
      <w:spacing w:before="160"/>
      <w:jc w:val="center"/>
    </w:pPr>
    <w:rPr>
      <w:i/>
      <w:iCs/>
      <w:color w:val="404040" w:themeColor="text1" w:themeTint="BF"/>
    </w:rPr>
  </w:style>
  <w:style w:type="character" w:customStyle="1" w:styleId="QuoteChar">
    <w:name w:val="Quote Char"/>
    <w:basedOn w:val="DefaultParagraphFont"/>
    <w:link w:val="Quote"/>
    <w:uiPriority w:val="29"/>
    <w:rsid w:val="00630757"/>
    <w:rPr>
      <w:i/>
      <w:iCs/>
      <w:color w:val="404040" w:themeColor="text1" w:themeTint="BF"/>
    </w:rPr>
  </w:style>
  <w:style w:type="paragraph" w:styleId="ListParagraph">
    <w:name w:val="List Paragraph"/>
    <w:basedOn w:val="Normal"/>
    <w:uiPriority w:val="34"/>
    <w:qFormat/>
    <w:rsid w:val="00630757"/>
    <w:pPr>
      <w:ind w:left="720"/>
      <w:contextualSpacing/>
    </w:pPr>
  </w:style>
  <w:style w:type="character" w:styleId="IntenseEmphasis">
    <w:name w:val="Intense Emphasis"/>
    <w:basedOn w:val="DefaultParagraphFont"/>
    <w:uiPriority w:val="21"/>
    <w:qFormat/>
    <w:rsid w:val="00630757"/>
    <w:rPr>
      <w:i/>
      <w:iCs/>
      <w:color w:val="0F4761" w:themeColor="accent1" w:themeShade="BF"/>
    </w:rPr>
  </w:style>
  <w:style w:type="paragraph" w:styleId="IntenseQuote">
    <w:name w:val="Intense Quote"/>
    <w:basedOn w:val="Normal"/>
    <w:next w:val="Normal"/>
    <w:link w:val="IntenseQuoteChar"/>
    <w:uiPriority w:val="30"/>
    <w:qFormat/>
    <w:rsid w:val="006307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0757"/>
    <w:rPr>
      <w:i/>
      <w:iCs/>
      <w:color w:val="0F4761" w:themeColor="accent1" w:themeShade="BF"/>
    </w:rPr>
  </w:style>
  <w:style w:type="character" w:styleId="IntenseReference">
    <w:name w:val="Intense Reference"/>
    <w:basedOn w:val="DefaultParagraphFont"/>
    <w:uiPriority w:val="32"/>
    <w:qFormat/>
    <w:rsid w:val="00630757"/>
    <w:rPr>
      <w:b/>
      <w:bCs/>
      <w:smallCaps/>
      <w:color w:val="0F4761" w:themeColor="accent1" w:themeShade="BF"/>
      <w:spacing w:val="5"/>
    </w:rPr>
  </w:style>
  <w:style w:type="paragraph" w:styleId="NormalWeb">
    <w:name w:val="Normal (Web)"/>
    <w:basedOn w:val="Normal"/>
    <w:uiPriority w:val="99"/>
    <w:unhideWhenUsed/>
    <w:rsid w:val="009B2BBF"/>
    <w:pPr>
      <w:spacing w:before="100" w:beforeAutospacing="1" w:after="100" w:afterAutospacing="1" w:line="240" w:lineRule="auto"/>
    </w:pPr>
    <w:rPr>
      <w:rFonts w:ascii="Times New Roman" w:eastAsia="Times New Roman" w:hAnsi="Times New Roman" w:cs="Times New Roman"/>
      <w:kern w:val="0"/>
    </w:rPr>
  </w:style>
  <w:style w:type="character" w:styleId="Emphasis">
    <w:name w:val="Emphasis"/>
    <w:basedOn w:val="DefaultParagraphFont"/>
    <w:uiPriority w:val="20"/>
    <w:qFormat/>
    <w:rsid w:val="009B2BBF"/>
    <w:rPr>
      <w:i/>
      <w:iCs/>
    </w:rPr>
  </w:style>
  <w:style w:type="paragraph" w:styleId="BodyText">
    <w:name w:val="Body Text"/>
    <w:basedOn w:val="Normal"/>
    <w:link w:val="BodyTextChar"/>
    <w:uiPriority w:val="1"/>
    <w:qFormat/>
    <w:rsid w:val="009B2BBF"/>
    <w:pPr>
      <w:widowControl w:val="0"/>
      <w:autoSpaceDE w:val="0"/>
      <w:autoSpaceDN w:val="0"/>
      <w:spacing w:before="61" w:after="0" w:line="240" w:lineRule="auto"/>
      <w:ind w:left="-1"/>
    </w:pPr>
    <w:rPr>
      <w:rFonts w:ascii="Times New Roman" w:eastAsia="Times New Roman" w:hAnsi="Times New Roman" w:cs="Times New Roman"/>
      <w:kern w:val="0"/>
    </w:rPr>
  </w:style>
  <w:style w:type="character" w:customStyle="1" w:styleId="BodyTextChar">
    <w:name w:val="Body Text Char"/>
    <w:basedOn w:val="DefaultParagraphFont"/>
    <w:link w:val="BodyText"/>
    <w:uiPriority w:val="1"/>
    <w:rsid w:val="009B2BBF"/>
    <w:rPr>
      <w:rFonts w:ascii="Times New Roman" w:eastAsia="Times New Roman" w:hAnsi="Times New Roman" w:cs="Times New Roman"/>
      <w:kern w:val="0"/>
    </w:rPr>
  </w:style>
  <w:style w:type="paragraph" w:customStyle="1" w:styleId="whitespace-normal">
    <w:name w:val="whitespace-normal"/>
    <w:basedOn w:val="Normal"/>
    <w:rsid w:val="004C1403"/>
    <w:pPr>
      <w:spacing w:before="100" w:beforeAutospacing="1" w:after="100" w:afterAutospacing="1" w:line="240" w:lineRule="auto"/>
    </w:pPr>
    <w:rPr>
      <w:rFonts w:ascii="Times New Roman" w:eastAsia="Times New Roman" w:hAnsi="Times New Roman" w:cs="Times New Roman"/>
      <w:kern w:val="0"/>
    </w:rPr>
  </w:style>
  <w:style w:type="character" w:styleId="Hyperlink">
    <w:name w:val="Hyperlink"/>
    <w:basedOn w:val="DefaultParagraphFont"/>
    <w:uiPriority w:val="99"/>
    <w:unhideWhenUsed/>
    <w:rsid w:val="003D18CE"/>
    <w:rPr>
      <w:color w:val="467886" w:themeColor="hyperlink"/>
      <w:u w:val="single"/>
    </w:rPr>
  </w:style>
  <w:style w:type="character" w:styleId="UnresolvedMention">
    <w:name w:val="Unresolved Mention"/>
    <w:basedOn w:val="DefaultParagraphFont"/>
    <w:uiPriority w:val="99"/>
    <w:semiHidden/>
    <w:unhideWhenUsed/>
    <w:rsid w:val="003D18CE"/>
    <w:rPr>
      <w:color w:val="605E5C"/>
      <w:shd w:val="clear" w:color="auto" w:fill="E1DFDD"/>
    </w:rPr>
  </w:style>
  <w:style w:type="character" w:customStyle="1" w:styleId="a-list-item">
    <w:name w:val="a-list-item"/>
    <w:basedOn w:val="DefaultParagraphFont"/>
    <w:rsid w:val="00DD1FDE"/>
  </w:style>
  <w:style w:type="character" w:styleId="Strong">
    <w:name w:val="Strong"/>
    <w:basedOn w:val="DefaultParagraphFont"/>
    <w:uiPriority w:val="22"/>
    <w:qFormat/>
    <w:rsid w:val="00DB752D"/>
    <w:rPr>
      <w:b/>
      <w:bCs/>
    </w:rPr>
  </w:style>
  <w:style w:type="character" w:styleId="PlaceholderText">
    <w:name w:val="Placeholder Text"/>
    <w:basedOn w:val="DefaultParagraphFont"/>
    <w:uiPriority w:val="99"/>
    <w:semiHidden/>
    <w:rsid w:val="00D01D2A"/>
    <w:rPr>
      <w:color w:val="666666"/>
    </w:rPr>
  </w:style>
  <w:style w:type="character" w:styleId="FollowedHyperlink">
    <w:name w:val="FollowedHyperlink"/>
    <w:basedOn w:val="DefaultParagraphFont"/>
    <w:uiPriority w:val="99"/>
    <w:semiHidden/>
    <w:unhideWhenUsed/>
    <w:rsid w:val="00F6761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apers.ssrn.com/sol3/papers.cfm?abstract_id=2659431"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ark-inves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7DE5D-5DB1-44E2-B046-3746AB385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19</Pages>
  <Words>4119</Words>
  <Characters>26780</Characters>
  <Application>Microsoft Office Word</Application>
  <DocSecurity>0</DocSecurity>
  <Lines>418</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krug</dc:creator>
  <cp:keywords/>
  <dc:description/>
  <cp:lastModifiedBy>kyle krug</cp:lastModifiedBy>
  <cp:revision>351</cp:revision>
  <dcterms:created xsi:type="dcterms:W3CDTF">2025-10-26T06:25:00Z</dcterms:created>
  <dcterms:modified xsi:type="dcterms:W3CDTF">2025-10-27T03:17:00Z</dcterms:modified>
</cp:coreProperties>
</file>